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BAD8" w14:textId="435E4DE8" w:rsidR="00433F3D" w:rsidRPr="00464C07" w:rsidRDefault="00ED1043" w:rsidP="003420B6">
      <w:pPr>
        <w:pStyle w:val="Default"/>
        <w:jc w:val="center"/>
        <w:rPr>
          <w:b/>
          <w:sz w:val="32"/>
          <w:szCs w:val="32"/>
        </w:rPr>
      </w:pPr>
      <w:r>
        <w:rPr>
          <w:b/>
          <w:sz w:val="32"/>
          <w:szCs w:val="32"/>
        </w:rPr>
        <w:t xml:space="preserve"> </w:t>
      </w:r>
      <w:r w:rsidR="003420B6" w:rsidRPr="00464C07">
        <w:rPr>
          <w:b/>
          <w:sz w:val="32"/>
          <w:szCs w:val="32"/>
        </w:rPr>
        <w:t>LIRA</w:t>
      </w:r>
      <w:r w:rsidR="003420B6" w:rsidRPr="00464C07">
        <w:rPr>
          <w:b/>
          <w:bCs/>
          <w:sz w:val="32"/>
          <w:szCs w:val="32"/>
        </w:rPr>
        <w:t xml:space="preserve"> UNIVERSITY RESEARCH AND INNOVATIONS FUND: REQUEST FOR APPLICATIONS (RFA) SUPPORTED BY THE GOVERNMENT OF THE REPUBLIC OF UGANDA</w:t>
      </w:r>
    </w:p>
    <w:p w14:paraId="58B6EA14" w14:textId="77777777" w:rsidR="00433F3D" w:rsidRPr="00922A7C" w:rsidRDefault="00433F3D" w:rsidP="00D055B1">
      <w:pPr>
        <w:tabs>
          <w:tab w:val="left" w:pos="2970"/>
        </w:tabs>
        <w:spacing w:before="240"/>
        <w:rPr>
          <w:b/>
          <w:bCs/>
          <w:color w:val="4472C4" w:themeColor="accent5"/>
          <w:sz w:val="28"/>
          <w:szCs w:val="28"/>
        </w:rPr>
      </w:pPr>
      <w:r w:rsidRPr="00922A7C">
        <w:rPr>
          <w:b/>
          <w:bCs/>
          <w:color w:val="4472C4" w:themeColor="accent5"/>
          <w:sz w:val="28"/>
          <w:szCs w:val="28"/>
        </w:rPr>
        <w:t>SECTION A: BACKGROUND</w:t>
      </w:r>
      <w:r w:rsidR="007E3994" w:rsidRPr="00922A7C">
        <w:rPr>
          <w:b/>
          <w:bCs/>
          <w:color w:val="4472C4" w:themeColor="accent5"/>
          <w:sz w:val="28"/>
          <w:szCs w:val="28"/>
        </w:rPr>
        <w:tab/>
      </w:r>
    </w:p>
    <w:p w14:paraId="7C3ED39C" w14:textId="77777777" w:rsidR="007E3994" w:rsidRPr="00922A7C" w:rsidRDefault="007E3994" w:rsidP="00922A7C">
      <w:pPr>
        <w:spacing w:after="0"/>
        <w:rPr>
          <w:b/>
          <w:bCs/>
          <w:color w:val="ED7D31" w:themeColor="accent2"/>
          <w:sz w:val="24"/>
          <w:szCs w:val="24"/>
        </w:rPr>
      </w:pPr>
      <w:r w:rsidRPr="00922A7C">
        <w:rPr>
          <w:b/>
          <w:bCs/>
          <w:color w:val="ED7D31" w:themeColor="accent2"/>
          <w:sz w:val="24"/>
          <w:szCs w:val="24"/>
        </w:rPr>
        <w:t>A1. Funding opportunity description</w:t>
      </w:r>
    </w:p>
    <w:p w14:paraId="1148F96B" w14:textId="593A2282" w:rsidR="00433F3D" w:rsidRDefault="007E3994" w:rsidP="00922A7C">
      <w:pPr>
        <w:spacing w:line="360" w:lineRule="auto"/>
        <w:jc w:val="both"/>
        <w:rPr>
          <w:bCs/>
          <w:sz w:val="23"/>
          <w:szCs w:val="23"/>
        </w:rPr>
      </w:pPr>
      <w:r w:rsidRPr="00766478">
        <w:rPr>
          <w:bCs/>
          <w:sz w:val="23"/>
          <w:szCs w:val="23"/>
        </w:rPr>
        <w:t xml:space="preserve">Lira University received her first funding from the Government of the Republic of Uganda to the </w:t>
      </w:r>
      <w:r w:rsidR="00766478" w:rsidRPr="00766478">
        <w:rPr>
          <w:bCs/>
          <w:sz w:val="23"/>
          <w:szCs w:val="23"/>
        </w:rPr>
        <w:t>value</w:t>
      </w:r>
      <w:r w:rsidRPr="00766478">
        <w:rPr>
          <w:bCs/>
          <w:sz w:val="23"/>
          <w:szCs w:val="23"/>
        </w:rPr>
        <w:t xml:space="preserve"> of Ugx. 500 Million to support high-impact Research and Innovations for the Financial Year 2023/24.  The fund demonstrates the commitment by H.E. the President of The Republic of Uganda to Strengthening Research in Higher Institutions as a strategy </w:t>
      </w:r>
      <w:r w:rsidR="0061099D">
        <w:rPr>
          <w:bCs/>
          <w:sz w:val="23"/>
          <w:szCs w:val="23"/>
        </w:rPr>
        <w:t>for</w:t>
      </w:r>
      <w:r w:rsidRPr="00766478">
        <w:rPr>
          <w:bCs/>
          <w:sz w:val="23"/>
          <w:szCs w:val="23"/>
        </w:rPr>
        <w:t xml:space="preserve"> realizing Vision 2040. The objective of the fund is to increase the local generation of translatable research and scalable innovations that address key gaps required to drive Uganda’s development agenda. The fund is therefore aimed at supporting the Lira University Research Agenda as spelled out in the Lira University Strategic Research and Innovation Agenda (2023-2028)</w:t>
      </w:r>
      <w:r w:rsidR="00766478" w:rsidRPr="00766478">
        <w:rPr>
          <w:bCs/>
          <w:sz w:val="23"/>
          <w:szCs w:val="23"/>
        </w:rPr>
        <w:t xml:space="preserve">. </w:t>
      </w:r>
      <w:r w:rsidRPr="00766478">
        <w:rPr>
          <w:bCs/>
          <w:sz w:val="23"/>
          <w:szCs w:val="23"/>
        </w:rPr>
        <w:t xml:space="preserve">Lira University </w:t>
      </w:r>
      <w:r w:rsidR="00766478" w:rsidRPr="00766478">
        <w:rPr>
          <w:bCs/>
          <w:sz w:val="23"/>
          <w:szCs w:val="23"/>
        </w:rPr>
        <w:t xml:space="preserve">Directorate of Graduate Training and Research through the Grants Management Unit </w:t>
      </w:r>
      <w:r w:rsidRPr="00766478">
        <w:rPr>
          <w:bCs/>
          <w:sz w:val="23"/>
          <w:szCs w:val="23"/>
        </w:rPr>
        <w:t xml:space="preserve">therefore announces the </w:t>
      </w:r>
      <w:r w:rsidR="00766478" w:rsidRPr="00766478">
        <w:rPr>
          <w:bCs/>
          <w:sz w:val="23"/>
          <w:szCs w:val="23"/>
        </w:rPr>
        <w:t xml:space="preserve">Request for Applications (RFA) for Research and Innovation for the FY 2023/2024. Researchers and innovators with </w:t>
      </w:r>
      <w:r w:rsidRPr="00766478">
        <w:rPr>
          <w:bCs/>
          <w:sz w:val="23"/>
          <w:szCs w:val="23"/>
        </w:rPr>
        <w:t xml:space="preserve">original ideas that demonstrate a clear link to key thematic areas of the </w:t>
      </w:r>
      <w:r w:rsidR="00766478" w:rsidRPr="00766478">
        <w:rPr>
          <w:bCs/>
          <w:sz w:val="23"/>
          <w:szCs w:val="23"/>
        </w:rPr>
        <w:t>Lira University</w:t>
      </w:r>
      <w:r w:rsidRPr="00766478">
        <w:rPr>
          <w:bCs/>
          <w:sz w:val="23"/>
          <w:szCs w:val="23"/>
        </w:rPr>
        <w:t xml:space="preserve"> </w:t>
      </w:r>
      <w:r w:rsidR="00766478" w:rsidRPr="00766478">
        <w:rPr>
          <w:bCs/>
          <w:sz w:val="23"/>
          <w:szCs w:val="23"/>
        </w:rPr>
        <w:t>Strategic Research and Innovation Agenda (2023-2028) are encouraged to apply</w:t>
      </w:r>
      <w:r w:rsidRPr="00766478">
        <w:rPr>
          <w:bCs/>
          <w:sz w:val="23"/>
          <w:szCs w:val="23"/>
        </w:rPr>
        <w:t>.</w:t>
      </w:r>
    </w:p>
    <w:p w14:paraId="37952728" w14:textId="77777777" w:rsidR="00766478" w:rsidRPr="00922A7C" w:rsidRDefault="001445E0" w:rsidP="00922A7C">
      <w:pPr>
        <w:spacing w:after="0" w:line="276" w:lineRule="auto"/>
        <w:jc w:val="both"/>
        <w:rPr>
          <w:b/>
          <w:bCs/>
          <w:color w:val="ED7D31" w:themeColor="accent2"/>
          <w:sz w:val="24"/>
          <w:szCs w:val="24"/>
        </w:rPr>
      </w:pPr>
      <w:r w:rsidRPr="00922A7C">
        <w:rPr>
          <w:b/>
          <w:bCs/>
          <w:color w:val="ED7D31" w:themeColor="accent2"/>
          <w:sz w:val="24"/>
          <w:szCs w:val="24"/>
        </w:rPr>
        <w:t>A2</w:t>
      </w:r>
      <w:r w:rsidR="00766478" w:rsidRPr="00922A7C">
        <w:rPr>
          <w:b/>
          <w:bCs/>
          <w:color w:val="ED7D31" w:themeColor="accent2"/>
          <w:sz w:val="24"/>
          <w:szCs w:val="24"/>
        </w:rPr>
        <w:t xml:space="preserve">. Scope </w:t>
      </w:r>
      <w:r w:rsidRPr="00922A7C">
        <w:rPr>
          <w:b/>
          <w:bCs/>
          <w:color w:val="ED7D31" w:themeColor="accent2"/>
          <w:sz w:val="24"/>
          <w:szCs w:val="24"/>
        </w:rPr>
        <w:t>of Research and Innovation</w:t>
      </w:r>
    </w:p>
    <w:p w14:paraId="700C0697" w14:textId="77777777" w:rsidR="001445E0" w:rsidRDefault="001445E0" w:rsidP="00922A7C">
      <w:pPr>
        <w:spacing w:line="360" w:lineRule="auto"/>
        <w:jc w:val="both"/>
        <w:rPr>
          <w:bCs/>
          <w:sz w:val="23"/>
          <w:szCs w:val="23"/>
        </w:rPr>
      </w:pPr>
      <w:r w:rsidRPr="001445E0">
        <w:rPr>
          <w:bCs/>
          <w:sz w:val="23"/>
          <w:szCs w:val="23"/>
        </w:rPr>
        <w:t>The proposed research and innovation should fall in one of the</w:t>
      </w:r>
      <w:r>
        <w:rPr>
          <w:bCs/>
          <w:sz w:val="23"/>
          <w:szCs w:val="23"/>
        </w:rPr>
        <w:t xml:space="preserve"> following thematic areas which is in line with the</w:t>
      </w:r>
      <w:r w:rsidRPr="001445E0">
        <w:rPr>
          <w:bCs/>
          <w:sz w:val="23"/>
          <w:szCs w:val="23"/>
        </w:rPr>
        <w:t xml:space="preserve"> Lira University Strategic Research and Innovation Agenda (2023-2028):</w:t>
      </w:r>
    </w:p>
    <w:p w14:paraId="1865BFA0"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 1:</w:t>
      </w:r>
      <w:r w:rsidRPr="001445E0">
        <w:rPr>
          <w:bCs/>
          <w:sz w:val="23"/>
          <w:szCs w:val="23"/>
        </w:rPr>
        <w:t xml:space="preserve"> </w:t>
      </w:r>
      <w:r w:rsidRPr="001445E0">
        <w:rPr>
          <w:bCs/>
          <w:i/>
          <w:sz w:val="23"/>
          <w:szCs w:val="23"/>
        </w:rPr>
        <w:t>Health and health system</w:t>
      </w:r>
      <w:r w:rsidRPr="001445E0">
        <w:rPr>
          <w:bCs/>
          <w:sz w:val="23"/>
          <w:szCs w:val="23"/>
        </w:rPr>
        <w:t xml:space="preserve"> </w:t>
      </w:r>
    </w:p>
    <w:p w14:paraId="12751ED7"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 2:</w:t>
      </w:r>
      <w:r w:rsidRPr="001445E0">
        <w:rPr>
          <w:bCs/>
          <w:sz w:val="23"/>
          <w:szCs w:val="23"/>
        </w:rPr>
        <w:t xml:space="preserve"> </w:t>
      </w:r>
      <w:r w:rsidRPr="001445E0">
        <w:rPr>
          <w:bCs/>
          <w:i/>
          <w:sz w:val="23"/>
          <w:szCs w:val="23"/>
        </w:rPr>
        <w:t>Food and Nutrition security and sustainable Agriculture</w:t>
      </w:r>
    </w:p>
    <w:p w14:paraId="322CDD0C"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 3:</w:t>
      </w:r>
      <w:r w:rsidRPr="001445E0">
        <w:rPr>
          <w:bCs/>
          <w:sz w:val="23"/>
          <w:szCs w:val="23"/>
        </w:rPr>
        <w:t xml:space="preserve"> </w:t>
      </w:r>
      <w:r w:rsidRPr="001445E0">
        <w:rPr>
          <w:bCs/>
          <w:i/>
          <w:sz w:val="23"/>
          <w:szCs w:val="23"/>
        </w:rPr>
        <w:t>Basic sciences and applied Technology</w:t>
      </w:r>
      <w:r w:rsidRPr="001445E0">
        <w:rPr>
          <w:bCs/>
          <w:sz w:val="23"/>
          <w:szCs w:val="23"/>
        </w:rPr>
        <w:t xml:space="preserve"> </w:t>
      </w:r>
    </w:p>
    <w:p w14:paraId="7E28DF03"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 4:</w:t>
      </w:r>
      <w:r w:rsidRPr="001445E0">
        <w:rPr>
          <w:bCs/>
          <w:sz w:val="23"/>
          <w:szCs w:val="23"/>
        </w:rPr>
        <w:t xml:space="preserve"> </w:t>
      </w:r>
      <w:r w:rsidRPr="001445E0">
        <w:rPr>
          <w:bCs/>
          <w:i/>
          <w:sz w:val="23"/>
          <w:szCs w:val="23"/>
        </w:rPr>
        <w:t>Governance, human rights, and economic management</w:t>
      </w:r>
    </w:p>
    <w:p w14:paraId="01006523"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 5:</w:t>
      </w:r>
      <w:r w:rsidRPr="001445E0">
        <w:rPr>
          <w:bCs/>
          <w:sz w:val="23"/>
          <w:szCs w:val="23"/>
        </w:rPr>
        <w:t xml:space="preserve"> </w:t>
      </w:r>
      <w:r w:rsidRPr="001445E0">
        <w:rPr>
          <w:bCs/>
          <w:i/>
          <w:sz w:val="23"/>
          <w:szCs w:val="23"/>
        </w:rPr>
        <w:t>Education and Education System</w:t>
      </w:r>
      <w:r w:rsidRPr="001445E0">
        <w:rPr>
          <w:bCs/>
          <w:sz w:val="23"/>
          <w:szCs w:val="23"/>
        </w:rPr>
        <w:t xml:space="preserve"> </w:t>
      </w:r>
    </w:p>
    <w:p w14:paraId="0734AAB0"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 6:</w:t>
      </w:r>
      <w:r w:rsidRPr="001445E0">
        <w:rPr>
          <w:bCs/>
          <w:sz w:val="23"/>
          <w:szCs w:val="23"/>
        </w:rPr>
        <w:t xml:space="preserve"> </w:t>
      </w:r>
      <w:r w:rsidRPr="001445E0">
        <w:rPr>
          <w:bCs/>
          <w:i/>
          <w:sz w:val="23"/>
          <w:szCs w:val="23"/>
        </w:rPr>
        <w:t>Climate change</w:t>
      </w:r>
      <w:r w:rsidRPr="001445E0">
        <w:rPr>
          <w:bCs/>
          <w:sz w:val="23"/>
          <w:szCs w:val="23"/>
        </w:rPr>
        <w:t xml:space="preserve"> </w:t>
      </w:r>
    </w:p>
    <w:p w14:paraId="0A84D38B" w14:textId="05C378F4" w:rsidR="001445E0" w:rsidRPr="001445E0" w:rsidRDefault="001445E0" w:rsidP="00922A7C">
      <w:pPr>
        <w:pStyle w:val="ListParagraph"/>
        <w:numPr>
          <w:ilvl w:val="0"/>
          <w:numId w:val="2"/>
        </w:numPr>
        <w:spacing w:line="360" w:lineRule="auto"/>
        <w:jc w:val="both"/>
        <w:rPr>
          <w:bCs/>
          <w:i/>
          <w:sz w:val="23"/>
          <w:szCs w:val="23"/>
        </w:rPr>
      </w:pPr>
      <w:r w:rsidRPr="001445E0">
        <w:rPr>
          <w:b/>
          <w:bCs/>
          <w:sz w:val="23"/>
          <w:szCs w:val="23"/>
        </w:rPr>
        <w:t>Theme:</w:t>
      </w:r>
      <w:r w:rsidRPr="001445E0">
        <w:rPr>
          <w:bCs/>
          <w:sz w:val="23"/>
          <w:szCs w:val="23"/>
        </w:rPr>
        <w:t xml:space="preserve"> </w:t>
      </w:r>
      <w:r w:rsidRPr="001445E0">
        <w:rPr>
          <w:bCs/>
          <w:i/>
          <w:sz w:val="23"/>
          <w:szCs w:val="23"/>
        </w:rPr>
        <w:t>Gender</w:t>
      </w:r>
      <w:r w:rsidR="0061099D">
        <w:rPr>
          <w:bCs/>
          <w:i/>
          <w:sz w:val="23"/>
          <w:szCs w:val="23"/>
        </w:rPr>
        <w:t>, performing art and culture</w:t>
      </w:r>
    </w:p>
    <w:p w14:paraId="24B443EB" w14:textId="77777777" w:rsidR="001445E0" w:rsidRPr="001445E0" w:rsidRDefault="001445E0" w:rsidP="00922A7C">
      <w:pPr>
        <w:pStyle w:val="ListParagraph"/>
        <w:numPr>
          <w:ilvl w:val="0"/>
          <w:numId w:val="2"/>
        </w:numPr>
        <w:spacing w:line="360" w:lineRule="auto"/>
        <w:jc w:val="both"/>
        <w:rPr>
          <w:bCs/>
          <w:sz w:val="23"/>
          <w:szCs w:val="23"/>
        </w:rPr>
      </w:pPr>
      <w:r w:rsidRPr="001445E0">
        <w:rPr>
          <w:b/>
          <w:bCs/>
          <w:sz w:val="23"/>
          <w:szCs w:val="23"/>
        </w:rPr>
        <w:t>Theme:</w:t>
      </w:r>
      <w:r w:rsidRPr="001445E0">
        <w:rPr>
          <w:bCs/>
          <w:sz w:val="23"/>
          <w:szCs w:val="23"/>
        </w:rPr>
        <w:t xml:space="preserve"> </w:t>
      </w:r>
      <w:r w:rsidRPr="001445E0">
        <w:rPr>
          <w:bCs/>
          <w:i/>
          <w:sz w:val="23"/>
          <w:szCs w:val="23"/>
        </w:rPr>
        <w:t>Artificial intelligence</w:t>
      </w:r>
      <w:r w:rsidRPr="001445E0">
        <w:rPr>
          <w:bCs/>
          <w:sz w:val="23"/>
          <w:szCs w:val="23"/>
        </w:rPr>
        <w:t xml:space="preserve"> </w:t>
      </w:r>
    </w:p>
    <w:p w14:paraId="329E43FC" w14:textId="77777777" w:rsidR="001445E0" w:rsidRPr="00922A7C" w:rsidRDefault="001445E0" w:rsidP="00922A7C">
      <w:pPr>
        <w:pStyle w:val="ListParagraph"/>
        <w:numPr>
          <w:ilvl w:val="0"/>
          <w:numId w:val="2"/>
        </w:numPr>
        <w:spacing w:line="360" w:lineRule="auto"/>
        <w:jc w:val="both"/>
        <w:rPr>
          <w:bCs/>
          <w:sz w:val="23"/>
          <w:szCs w:val="23"/>
        </w:rPr>
      </w:pPr>
      <w:r w:rsidRPr="001445E0">
        <w:rPr>
          <w:b/>
          <w:bCs/>
          <w:sz w:val="23"/>
          <w:szCs w:val="23"/>
        </w:rPr>
        <w:t>Theme 9:</w:t>
      </w:r>
      <w:r w:rsidRPr="001445E0">
        <w:rPr>
          <w:bCs/>
          <w:sz w:val="23"/>
          <w:szCs w:val="23"/>
        </w:rPr>
        <w:t xml:space="preserve"> </w:t>
      </w:r>
      <w:r w:rsidRPr="001445E0">
        <w:rPr>
          <w:bCs/>
          <w:i/>
          <w:sz w:val="23"/>
          <w:szCs w:val="23"/>
        </w:rPr>
        <w:t>Biotechnology</w:t>
      </w:r>
    </w:p>
    <w:p w14:paraId="7CA2DFD1" w14:textId="77777777" w:rsidR="00922A7C" w:rsidRDefault="00922A7C" w:rsidP="00922A7C">
      <w:pPr>
        <w:pStyle w:val="ListParagraph"/>
        <w:spacing w:line="360" w:lineRule="auto"/>
        <w:jc w:val="both"/>
        <w:rPr>
          <w:b/>
          <w:bCs/>
          <w:sz w:val="23"/>
          <w:szCs w:val="23"/>
        </w:rPr>
      </w:pPr>
    </w:p>
    <w:p w14:paraId="0F713F24" w14:textId="77777777" w:rsidR="00922A7C" w:rsidRDefault="00922A7C" w:rsidP="00922A7C">
      <w:pPr>
        <w:pStyle w:val="ListParagraph"/>
        <w:spacing w:line="360" w:lineRule="auto"/>
        <w:jc w:val="both"/>
        <w:rPr>
          <w:b/>
          <w:bCs/>
          <w:sz w:val="23"/>
          <w:szCs w:val="23"/>
        </w:rPr>
      </w:pPr>
    </w:p>
    <w:p w14:paraId="068FFAA9" w14:textId="77777777" w:rsidR="00922A7C" w:rsidRPr="001445E0" w:rsidRDefault="00922A7C" w:rsidP="00922A7C">
      <w:pPr>
        <w:pStyle w:val="ListParagraph"/>
        <w:spacing w:line="360" w:lineRule="auto"/>
        <w:jc w:val="both"/>
        <w:rPr>
          <w:bCs/>
          <w:sz w:val="23"/>
          <w:szCs w:val="23"/>
        </w:rPr>
      </w:pPr>
    </w:p>
    <w:p w14:paraId="5C8FC9CF" w14:textId="77777777" w:rsidR="001445E0" w:rsidRPr="00922A7C" w:rsidRDefault="001445E0" w:rsidP="001445E0">
      <w:pPr>
        <w:spacing w:line="276" w:lineRule="auto"/>
        <w:jc w:val="both"/>
        <w:rPr>
          <w:b/>
          <w:bCs/>
          <w:color w:val="ED7D31" w:themeColor="accent2"/>
          <w:sz w:val="24"/>
          <w:szCs w:val="24"/>
        </w:rPr>
      </w:pPr>
      <w:r w:rsidRPr="00922A7C">
        <w:rPr>
          <w:b/>
          <w:bCs/>
          <w:color w:val="ED7D31" w:themeColor="accent2"/>
          <w:sz w:val="24"/>
          <w:szCs w:val="24"/>
        </w:rPr>
        <w:lastRenderedPageBreak/>
        <w:t>A3. Categories and size of grants to be issued</w:t>
      </w:r>
    </w:p>
    <w:p w14:paraId="133DEEAE" w14:textId="77777777" w:rsidR="001445E0" w:rsidRDefault="001445E0" w:rsidP="001445E0">
      <w:pPr>
        <w:spacing w:line="276" w:lineRule="auto"/>
        <w:jc w:val="both"/>
        <w:rPr>
          <w:bCs/>
          <w:sz w:val="23"/>
          <w:szCs w:val="23"/>
        </w:rPr>
      </w:pPr>
      <w:r w:rsidRPr="001445E0">
        <w:rPr>
          <w:bCs/>
          <w:sz w:val="23"/>
          <w:szCs w:val="23"/>
        </w:rPr>
        <w:t>Grants will be issued in the following categories:</w:t>
      </w:r>
    </w:p>
    <w:tbl>
      <w:tblPr>
        <w:tblStyle w:val="TableGrid"/>
        <w:tblW w:w="0" w:type="auto"/>
        <w:tblLook w:val="04A0" w:firstRow="1" w:lastRow="0" w:firstColumn="1" w:lastColumn="0" w:noHBand="0" w:noVBand="1"/>
      </w:tblPr>
      <w:tblGrid>
        <w:gridCol w:w="2335"/>
        <w:gridCol w:w="2610"/>
        <w:gridCol w:w="2160"/>
        <w:gridCol w:w="1890"/>
      </w:tblGrid>
      <w:tr w:rsidR="006E6134" w14:paraId="52A486FA" w14:textId="77777777" w:rsidTr="006E6134">
        <w:tc>
          <w:tcPr>
            <w:tcW w:w="2335" w:type="dxa"/>
          </w:tcPr>
          <w:p w14:paraId="49FA52F1" w14:textId="77777777" w:rsidR="006E6134" w:rsidRPr="006E6134" w:rsidRDefault="006E6134" w:rsidP="001445E0">
            <w:pPr>
              <w:spacing w:line="276" w:lineRule="auto"/>
              <w:jc w:val="both"/>
              <w:rPr>
                <w:b/>
                <w:bCs/>
                <w:sz w:val="23"/>
                <w:szCs w:val="23"/>
              </w:rPr>
            </w:pPr>
            <w:r w:rsidRPr="006E6134">
              <w:rPr>
                <w:b/>
                <w:bCs/>
                <w:sz w:val="23"/>
                <w:szCs w:val="23"/>
              </w:rPr>
              <w:t>CATEGORY</w:t>
            </w:r>
          </w:p>
        </w:tc>
        <w:tc>
          <w:tcPr>
            <w:tcW w:w="2610" w:type="dxa"/>
          </w:tcPr>
          <w:p w14:paraId="234CB734" w14:textId="77777777" w:rsidR="006E6134" w:rsidRPr="006E6134" w:rsidRDefault="006E6134" w:rsidP="001445E0">
            <w:pPr>
              <w:spacing w:line="276" w:lineRule="auto"/>
              <w:jc w:val="both"/>
              <w:rPr>
                <w:b/>
                <w:bCs/>
                <w:sz w:val="23"/>
                <w:szCs w:val="23"/>
              </w:rPr>
            </w:pPr>
            <w:r w:rsidRPr="006E6134">
              <w:rPr>
                <w:b/>
                <w:bCs/>
                <w:sz w:val="23"/>
                <w:szCs w:val="23"/>
              </w:rPr>
              <w:t>APPROX. No. OF GRANT</w:t>
            </w:r>
          </w:p>
        </w:tc>
        <w:tc>
          <w:tcPr>
            <w:tcW w:w="2160" w:type="dxa"/>
          </w:tcPr>
          <w:p w14:paraId="511CFC96" w14:textId="77777777" w:rsidR="006E6134" w:rsidRPr="006E6134" w:rsidRDefault="006E6134" w:rsidP="001445E0">
            <w:pPr>
              <w:spacing w:line="276" w:lineRule="auto"/>
              <w:jc w:val="both"/>
              <w:rPr>
                <w:b/>
                <w:bCs/>
                <w:sz w:val="23"/>
                <w:szCs w:val="23"/>
              </w:rPr>
            </w:pPr>
            <w:r w:rsidRPr="006E6134">
              <w:rPr>
                <w:b/>
                <w:bCs/>
                <w:sz w:val="23"/>
                <w:szCs w:val="23"/>
              </w:rPr>
              <w:t>AMOUNT (UGX)</w:t>
            </w:r>
          </w:p>
        </w:tc>
        <w:tc>
          <w:tcPr>
            <w:tcW w:w="1890" w:type="dxa"/>
          </w:tcPr>
          <w:p w14:paraId="6012F742" w14:textId="77777777" w:rsidR="006E6134" w:rsidRPr="006E6134" w:rsidRDefault="006E6134" w:rsidP="001445E0">
            <w:pPr>
              <w:spacing w:line="276" w:lineRule="auto"/>
              <w:jc w:val="both"/>
              <w:rPr>
                <w:b/>
                <w:bCs/>
                <w:sz w:val="23"/>
                <w:szCs w:val="23"/>
              </w:rPr>
            </w:pPr>
            <w:r w:rsidRPr="006E6134">
              <w:rPr>
                <w:b/>
                <w:bCs/>
                <w:sz w:val="23"/>
                <w:szCs w:val="23"/>
              </w:rPr>
              <w:t>TOTAL VALUE</w:t>
            </w:r>
          </w:p>
        </w:tc>
      </w:tr>
      <w:tr w:rsidR="006E6134" w14:paraId="4AE6AFCF" w14:textId="77777777" w:rsidTr="006E6134">
        <w:tc>
          <w:tcPr>
            <w:tcW w:w="2335" w:type="dxa"/>
          </w:tcPr>
          <w:p w14:paraId="0CDB0329" w14:textId="77777777" w:rsidR="006E6134" w:rsidRDefault="006E6134" w:rsidP="006E6134">
            <w:pPr>
              <w:spacing w:line="276" w:lineRule="auto"/>
              <w:jc w:val="both"/>
              <w:rPr>
                <w:bCs/>
                <w:sz w:val="23"/>
                <w:szCs w:val="23"/>
              </w:rPr>
            </w:pPr>
            <w:r>
              <w:rPr>
                <w:bCs/>
                <w:sz w:val="23"/>
                <w:szCs w:val="23"/>
              </w:rPr>
              <w:t xml:space="preserve">Faculty-Led Research &amp; Innovations </w:t>
            </w:r>
          </w:p>
        </w:tc>
        <w:tc>
          <w:tcPr>
            <w:tcW w:w="2610" w:type="dxa"/>
          </w:tcPr>
          <w:p w14:paraId="4914E34E" w14:textId="77777777" w:rsidR="006E6134" w:rsidRDefault="0008775E" w:rsidP="001445E0">
            <w:pPr>
              <w:spacing w:line="276" w:lineRule="auto"/>
              <w:jc w:val="both"/>
              <w:rPr>
                <w:bCs/>
                <w:sz w:val="23"/>
                <w:szCs w:val="23"/>
              </w:rPr>
            </w:pPr>
            <w:r>
              <w:rPr>
                <w:bCs/>
                <w:sz w:val="23"/>
                <w:szCs w:val="23"/>
              </w:rPr>
              <w:t>14</w:t>
            </w:r>
          </w:p>
        </w:tc>
        <w:tc>
          <w:tcPr>
            <w:tcW w:w="2160" w:type="dxa"/>
          </w:tcPr>
          <w:p w14:paraId="41611601" w14:textId="77777777" w:rsidR="006E6134" w:rsidRDefault="00464C07" w:rsidP="001445E0">
            <w:pPr>
              <w:spacing w:line="276" w:lineRule="auto"/>
              <w:jc w:val="both"/>
              <w:rPr>
                <w:bCs/>
                <w:sz w:val="23"/>
                <w:szCs w:val="23"/>
              </w:rPr>
            </w:pPr>
            <w:r>
              <w:rPr>
                <w:bCs/>
                <w:sz w:val="23"/>
                <w:szCs w:val="23"/>
              </w:rPr>
              <w:t>Max</w:t>
            </w:r>
            <w:r w:rsidR="006E6134">
              <w:rPr>
                <w:bCs/>
                <w:sz w:val="23"/>
                <w:szCs w:val="23"/>
              </w:rPr>
              <w:t xml:space="preserve"> 20,000,000</w:t>
            </w:r>
          </w:p>
        </w:tc>
        <w:tc>
          <w:tcPr>
            <w:tcW w:w="1890" w:type="dxa"/>
          </w:tcPr>
          <w:p w14:paraId="44960911" w14:textId="77777777" w:rsidR="006E6134" w:rsidRDefault="0008775E" w:rsidP="001445E0">
            <w:pPr>
              <w:spacing w:line="276" w:lineRule="auto"/>
              <w:jc w:val="both"/>
              <w:rPr>
                <w:bCs/>
                <w:sz w:val="23"/>
                <w:szCs w:val="23"/>
              </w:rPr>
            </w:pPr>
            <w:r>
              <w:rPr>
                <w:bCs/>
                <w:sz w:val="23"/>
                <w:szCs w:val="23"/>
              </w:rPr>
              <w:t>28</w:t>
            </w:r>
            <w:r w:rsidR="006E6134">
              <w:rPr>
                <w:bCs/>
                <w:sz w:val="23"/>
                <w:szCs w:val="23"/>
              </w:rPr>
              <w:t>0,000,000</w:t>
            </w:r>
          </w:p>
        </w:tc>
      </w:tr>
      <w:tr w:rsidR="006E6134" w14:paraId="74C7F1CB" w14:textId="77777777" w:rsidTr="006E6134">
        <w:tc>
          <w:tcPr>
            <w:tcW w:w="2335" w:type="dxa"/>
          </w:tcPr>
          <w:p w14:paraId="0EF381DA" w14:textId="77777777" w:rsidR="006E6134" w:rsidRDefault="006E6134" w:rsidP="001445E0">
            <w:pPr>
              <w:spacing w:line="276" w:lineRule="auto"/>
              <w:jc w:val="both"/>
              <w:rPr>
                <w:bCs/>
                <w:sz w:val="23"/>
                <w:szCs w:val="23"/>
              </w:rPr>
            </w:pPr>
            <w:r>
              <w:rPr>
                <w:bCs/>
                <w:sz w:val="23"/>
                <w:szCs w:val="23"/>
              </w:rPr>
              <w:t>Student-Led Research &amp; Innovation</w:t>
            </w:r>
          </w:p>
        </w:tc>
        <w:tc>
          <w:tcPr>
            <w:tcW w:w="2610" w:type="dxa"/>
          </w:tcPr>
          <w:p w14:paraId="2EC94005" w14:textId="77777777" w:rsidR="006E6134" w:rsidRDefault="006E6134" w:rsidP="001445E0">
            <w:pPr>
              <w:spacing w:line="276" w:lineRule="auto"/>
              <w:jc w:val="both"/>
              <w:rPr>
                <w:bCs/>
                <w:sz w:val="23"/>
                <w:szCs w:val="23"/>
              </w:rPr>
            </w:pPr>
            <w:r>
              <w:rPr>
                <w:bCs/>
                <w:sz w:val="23"/>
                <w:szCs w:val="23"/>
              </w:rPr>
              <w:t>1</w:t>
            </w:r>
            <w:r w:rsidR="0008775E">
              <w:rPr>
                <w:bCs/>
                <w:sz w:val="23"/>
                <w:szCs w:val="23"/>
              </w:rPr>
              <w:t>5</w:t>
            </w:r>
          </w:p>
        </w:tc>
        <w:tc>
          <w:tcPr>
            <w:tcW w:w="2160" w:type="dxa"/>
          </w:tcPr>
          <w:p w14:paraId="79A9BFA7" w14:textId="77777777" w:rsidR="006E6134" w:rsidRDefault="00464C07" w:rsidP="001445E0">
            <w:pPr>
              <w:spacing w:line="276" w:lineRule="auto"/>
              <w:jc w:val="both"/>
              <w:rPr>
                <w:bCs/>
                <w:sz w:val="23"/>
                <w:szCs w:val="23"/>
              </w:rPr>
            </w:pPr>
            <w:r>
              <w:rPr>
                <w:bCs/>
                <w:sz w:val="23"/>
                <w:szCs w:val="23"/>
              </w:rPr>
              <w:t xml:space="preserve">Max. </w:t>
            </w:r>
            <w:r w:rsidR="006E6134">
              <w:rPr>
                <w:bCs/>
                <w:sz w:val="23"/>
                <w:szCs w:val="23"/>
              </w:rPr>
              <w:t>5,000,000</w:t>
            </w:r>
          </w:p>
        </w:tc>
        <w:tc>
          <w:tcPr>
            <w:tcW w:w="1890" w:type="dxa"/>
          </w:tcPr>
          <w:p w14:paraId="002A6095" w14:textId="77777777" w:rsidR="006E6134" w:rsidRDefault="0008775E" w:rsidP="001445E0">
            <w:pPr>
              <w:spacing w:line="276" w:lineRule="auto"/>
              <w:jc w:val="both"/>
              <w:rPr>
                <w:bCs/>
                <w:sz w:val="23"/>
                <w:szCs w:val="23"/>
              </w:rPr>
            </w:pPr>
            <w:r>
              <w:rPr>
                <w:bCs/>
                <w:sz w:val="23"/>
                <w:szCs w:val="23"/>
              </w:rPr>
              <w:t>75,000,000</w:t>
            </w:r>
          </w:p>
        </w:tc>
      </w:tr>
      <w:tr w:rsidR="006E6134" w14:paraId="7E6CE5B4" w14:textId="77777777" w:rsidTr="006E6134">
        <w:tc>
          <w:tcPr>
            <w:tcW w:w="2335" w:type="dxa"/>
          </w:tcPr>
          <w:p w14:paraId="3593E565" w14:textId="77777777" w:rsidR="006E6134" w:rsidRPr="006E6134" w:rsidRDefault="006E6134" w:rsidP="001445E0">
            <w:pPr>
              <w:spacing w:line="276" w:lineRule="auto"/>
              <w:jc w:val="both"/>
              <w:rPr>
                <w:b/>
                <w:bCs/>
                <w:sz w:val="23"/>
                <w:szCs w:val="23"/>
              </w:rPr>
            </w:pPr>
            <w:r w:rsidRPr="006E6134">
              <w:rPr>
                <w:b/>
                <w:bCs/>
                <w:sz w:val="23"/>
                <w:szCs w:val="23"/>
              </w:rPr>
              <w:t>TOTAL</w:t>
            </w:r>
          </w:p>
        </w:tc>
        <w:tc>
          <w:tcPr>
            <w:tcW w:w="2610" w:type="dxa"/>
          </w:tcPr>
          <w:p w14:paraId="05D42418" w14:textId="77777777" w:rsidR="006E6134" w:rsidRPr="006E6134" w:rsidRDefault="0008775E" w:rsidP="001445E0">
            <w:pPr>
              <w:spacing w:line="276" w:lineRule="auto"/>
              <w:jc w:val="both"/>
              <w:rPr>
                <w:b/>
                <w:bCs/>
                <w:sz w:val="23"/>
                <w:szCs w:val="23"/>
              </w:rPr>
            </w:pPr>
            <w:r>
              <w:rPr>
                <w:b/>
                <w:bCs/>
                <w:sz w:val="23"/>
                <w:szCs w:val="23"/>
              </w:rPr>
              <w:t>29</w:t>
            </w:r>
          </w:p>
        </w:tc>
        <w:tc>
          <w:tcPr>
            <w:tcW w:w="2160" w:type="dxa"/>
          </w:tcPr>
          <w:p w14:paraId="36795C60" w14:textId="77777777" w:rsidR="006E6134" w:rsidRPr="006E6134" w:rsidRDefault="009B22C6" w:rsidP="001445E0">
            <w:pPr>
              <w:spacing w:line="276" w:lineRule="auto"/>
              <w:jc w:val="both"/>
              <w:rPr>
                <w:b/>
                <w:bCs/>
                <w:sz w:val="23"/>
                <w:szCs w:val="23"/>
              </w:rPr>
            </w:pPr>
            <w:r>
              <w:rPr>
                <w:b/>
                <w:bCs/>
                <w:sz w:val="23"/>
                <w:szCs w:val="23"/>
              </w:rPr>
              <w:t>25,000,000</w:t>
            </w:r>
          </w:p>
        </w:tc>
        <w:tc>
          <w:tcPr>
            <w:tcW w:w="1890" w:type="dxa"/>
          </w:tcPr>
          <w:p w14:paraId="68D9966E" w14:textId="77777777" w:rsidR="006E6134" w:rsidRPr="006E6134" w:rsidRDefault="009B22C6" w:rsidP="001445E0">
            <w:pPr>
              <w:spacing w:line="276" w:lineRule="auto"/>
              <w:jc w:val="both"/>
              <w:rPr>
                <w:b/>
                <w:bCs/>
                <w:sz w:val="23"/>
                <w:szCs w:val="23"/>
              </w:rPr>
            </w:pPr>
            <w:r>
              <w:rPr>
                <w:b/>
                <w:bCs/>
                <w:sz w:val="23"/>
                <w:szCs w:val="23"/>
              </w:rPr>
              <w:t>355,000,000</w:t>
            </w:r>
          </w:p>
        </w:tc>
      </w:tr>
    </w:tbl>
    <w:p w14:paraId="32B5323D" w14:textId="77777777" w:rsidR="006E6134" w:rsidRDefault="006E6134" w:rsidP="001445E0">
      <w:pPr>
        <w:spacing w:line="276" w:lineRule="auto"/>
        <w:jc w:val="both"/>
        <w:rPr>
          <w:bCs/>
          <w:sz w:val="23"/>
          <w:szCs w:val="23"/>
        </w:rPr>
      </w:pPr>
    </w:p>
    <w:p w14:paraId="6C550DC6" w14:textId="77777777" w:rsidR="001445E0" w:rsidRPr="001445E0" w:rsidRDefault="001445E0" w:rsidP="00922A7C">
      <w:pPr>
        <w:spacing w:line="360" w:lineRule="auto"/>
        <w:jc w:val="both"/>
        <w:rPr>
          <w:bCs/>
          <w:sz w:val="23"/>
          <w:szCs w:val="23"/>
        </w:rPr>
      </w:pPr>
      <w:r w:rsidRPr="001445E0">
        <w:rPr>
          <w:b/>
          <w:bCs/>
          <w:sz w:val="23"/>
          <w:szCs w:val="23"/>
        </w:rPr>
        <w:t>Note:</w:t>
      </w:r>
      <w:r>
        <w:rPr>
          <w:bCs/>
          <w:sz w:val="23"/>
          <w:szCs w:val="23"/>
        </w:rPr>
        <w:t xml:space="preserve"> </w:t>
      </w:r>
      <w:r w:rsidRPr="001445E0">
        <w:rPr>
          <w:bCs/>
          <w:sz w:val="23"/>
          <w:szCs w:val="23"/>
        </w:rPr>
        <w:t>The Grants Management Committee reserves the right to determine/change the number and size of awards based on prevailing circumstances informed by demand, quality of applications, availability of funds</w:t>
      </w:r>
      <w:r>
        <w:rPr>
          <w:bCs/>
          <w:sz w:val="23"/>
          <w:szCs w:val="23"/>
        </w:rPr>
        <w:t>,</w:t>
      </w:r>
      <w:r w:rsidRPr="001445E0">
        <w:rPr>
          <w:bCs/>
          <w:sz w:val="23"/>
          <w:szCs w:val="23"/>
        </w:rPr>
        <w:t xml:space="preserve"> and level of utilization of funds by grantees.</w:t>
      </w:r>
    </w:p>
    <w:p w14:paraId="15FE46F0" w14:textId="77777777" w:rsidR="00433F3D" w:rsidRPr="00922A7C" w:rsidRDefault="00433F3D" w:rsidP="00433F3D">
      <w:pPr>
        <w:rPr>
          <w:b/>
          <w:bCs/>
          <w:color w:val="4472C4" w:themeColor="accent5"/>
          <w:sz w:val="28"/>
          <w:szCs w:val="28"/>
        </w:rPr>
      </w:pPr>
      <w:r w:rsidRPr="00922A7C">
        <w:rPr>
          <w:b/>
          <w:bCs/>
          <w:color w:val="4472C4" w:themeColor="accent5"/>
          <w:sz w:val="28"/>
          <w:szCs w:val="28"/>
        </w:rPr>
        <w:t>SECTION B: ELIGIBILITY</w:t>
      </w:r>
    </w:p>
    <w:p w14:paraId="56F42F24" w14:textId="77777777" w:rsidR="00433F3D" w:rsidRPr="00922A7C" w:rsidRDefault="00433F3D" w:rsidP="00433F3D">
      <w:pPr>
        <w:rPr>
          <w:b/>
          <w:bCs/>
          <w:color w:val="ED7D31" w:themeColor="accent2"/>
          <w:sz w:val="24"/>
          <w:szCs w:val="24"/>
        </w:rPr>
      </w:pPr>
      <w:r w:rsidRPr="00922A7C">
        <w:rPr>
          <w:b/>
          <w:bCs/>
          <w:color w:val="ED7D31" w:themeColor="accent2"/>
          <w:sz w:val="24"/>
          <w:szCs w:val="24"/>
        </w:rPr>
        <w:t>B1. Guidelines for Eligibility</w:t>
      </w:r>
    </w:p>
    <w:p w14:paraId="70C15CA1" w14:textId="77777777" w:rsidR="006E6134" w:rsidRPr="006E6134" w:rsidRDefault="006E6134" w:rsidP="00433F3D">
      <w:pPr>
        <w:rPr>
          <w:rFonts w:cstheme="minorHAnsi"/>
          <w:bCs/>
          <w:sz w:val="23"/>
          <w:szCs w:val="23"/>
        </w:rPr>
      </w:pPr>
      <w:r w:rsidRPr="006E6134">
        <w:rPr>
          <w:rFonts w:cstheme="minorHAnsi"/>
          <w:bCs/>
          <w:sz w:val="23"/>
          <w:szCs w:val="23"/>
        </w:rPr>
        <w:t>To be eligible for funding, a research team should meet the following criteria:</w:t>
      </w:r>
    </w:p>
    <w:p w14:paraId="450B838D" w14:textId="77777777"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t xml:space="preserve">The Principal Investigator (PI) should be an academic or research staff of Lira University on </w:t>
      </w:r>
      <w:r>
        <w:rPr>
          <w:rFonts w:cstheme="minorHAnsi"/>
          <w:sz w:val="24"/>
          <w:szCs w:val="24"/>
        </w:rPr>
        <w:t xml:space="preserve">a </w:t>
      </w:r>
      <w:r w:rsidRPr="006E6134">
        <w:rPr>
          <w:rFonts w:cstheme="minorHAnsi"/>
          <w:sz w:val="24"/>
          <w:szCs w:val="24"/>
        </w:rPr>
        <w:t>permanent or full</w:t>
      </w:r>
      <w:r>
        <w:rPr>
          <w:rFonts w:cstheme="minorHAnsi"/>
          <w:sz w:val="24"/>
          <w:szCs w:val="24"/>
        </w:rPr>
        <w:t>-</w:t>
      </w:r>
      <w:r w:rsidRPr="006E6134">
        <w:rPr>
          <w:rFonts w:cstheme="minorHAnsi"/>
          <w:sz w:val="24"/>
          <w:szCs w:val="24"/>
        </w:rPr>
        <w:t xml:space="preserve">time contract or a senior staff member from one of the administrative units linked to research (Library, Gender Mainstreaming, Quality Assurance, and the Directorate of Research and Graduate Training). Students can be PIs subject to item 7 </w:t>
      </w:r>
    </w:p>
    <w:p w14:paraId="65C283D3" w14:textId="77777777"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t>The PI should be actively in service (not on study leave or sabbatical leave)</w:t>
      </w:r>
    </w:p>
    <w:p w14:paraId="72481A0E" w14:textId="77777777"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t>The PI should obtain a letter of support from his/her department/school or College (any one of the three)</w:t>
      </w:r>
    </w:p>
    <w:p w14:paraId="531C7436" w14:textId="77777777"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t xml:space="preserve">The PI should attach a copy of his/her appointment letter or </w:t>
      </w:r>
      <w:r>
        <w:rPr>
          <w:rFonts w:cstheme="minorHAnsi"/>
          <w:sz w:val="24"/>
          <w:szCs w:val="24"/>
        </w:rPr>
        <w:t>most recent</w:t>
      </w:r>
      <w:r w:rsidRPr="006E6134">
        <w:rPr>
          <w:rFonts w:cstheme="minorHAnsi"/>
          <w:sz w:val="24"/>
          <w:szCs w:val="24"/>
        </w:rPr>
        <w:t xml:space="preserve"> letter of promotion issued by the Directorate of Human </w:t>
      </w:r>
      <w:r>
        <w:rPr>
          <w:rFonts w:cstheme="minorHAnsi"/>
          <w:sz w:val="24"/>
          <w:szCs w:val="24"/>
        </w:rPr>
        <w:t>Resources</w:t>
      </w:r>
      <w:r w:rsidRPr="006E6134">
        <w:rPr>
          <w:rFonts w:cstheme="minorHAnsi"/>
          <w:sz w:val="24"/>
          <w:szCs w:val="24"/>
        </w:rPr>
        <w:t xml:space="preserve"> of Lira University. </w:t>
      </w:r>
    </w:p>
    <w:p w14:paraId="05A30F77" w14:textId="77777777"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t>A researcher cannot be a PI on more than one application but it is allowable for a person to be on multiple applying teams</w:t>
      </w:r>
    </w:p>
    <w:p w14:paraId="5B950585" w14:textId="77777777"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t xml:space="preserve">Researchers from Lira University are encouraged to collaborate with resource persons from civil society organizations, government sectors, other universities within Uganda, independent research institutions, </w:t>
      </w:r>
      <w:r w:rsidR="00A61D0D">
        <w:rPr>
          <w:rFonts w:cstheme="minorHAnsi"/>
          <w:sz w:val="24"/>
          <w:szCs w:val="24"/>
        </w:rPr>
        <w:t>businesses</w:t>
      </w:r>
      <w:r w:rsidRPr="006E6134">
        <w:rPr>
          <w:rFonts w:cstheme="minorHAnsi"/>
          <w:sz w:val="24"/>
          <w:szCs w:val="24"/>
        </w:rPr>
        <w:t xml:space="preserve"> and industry as part of their teams; in such cases, the external team members will provide a letter of support from their institution to be included as an attachment</w:t>
      </w:r>
    </w:p>
    <w:p w14:paraId="7F01AF7B" w14:textId="7640F16C" w:rsidR="006E6134" w:rsidRPr="006E6134" w:rsidRDefault="006E6134" w:rsidP="006E6134">
      <w:pPr>
        <w:pStyle w:val="ListParagraph"/>
        <w:numPr>
          <w:ilvl w:val="0"/>
          <w:numId w:val="3"/>
        </w:numPr>
        <w:spacing w:line="360" w:lineRule="auto"/>
        <w:rPr>
          <w:rFonts w:cstheme="minorHAnsi"/>
          <w:sz w:val="24"/>
          <w:szCs w:val="24"/>
        </w:rPr>
      </w:pPr>
      <w:r w:rsidRPr="006E6134">
        <w:rPr>
          <w:rFonts w:cstheme="minorHAnsi"/>
          <w:sz w:val="24"/>
          <w:szCs w:val="24"/>
        </w:rPr>
        <w:lastRenderedPageBreak/>
        <w:t xml:space="preserve">Student grants will be awarded under </w:t>
      </w:r>
      <w:r w:rsidR="00A61D0D">
        <w:rPr>
          <w:rFonts w:cstheme="minorHAnsi"/>
          <w:sz w:val="24"/>
          <w:szCs w:val="24"/>
        </w:rPr>
        <w:t xml:space="preserve">the </w:t>
      </w:r>
      <w:r w:rsidRPr="006E6134">
        <w:rPr>
          <w:rFonts w:cstheme="minorHAnsi"/>
          <w:sz w:val="24"/>
          <w:szCs w:val="24"/>
        </w:rPr>
        <w:t xml:space="preserve">academic mentorship programme.  The student should route their applications through a </w:t>
      </w:r>
      <w:r w:rsidR="00827161" w:rsidRPr="006E6134">
        <w:rPr>
          <w:rFonts w:cstheme="minorHAnsi"/>
          <w:sz w:val="24"/>
          <w:szCs w:val="24"/>
        </w:rPr>
        <w:t>mentor</w:t>
      </w:r>
      <w:r w:rsidR="00827161">
        <w:rPr>
          <w:rFonts w:cstheme="minorHAnsi"/>
          <w:sz w:val="24"/>
          <w:szCs w:val="24"/>
        </w:rPr>
        <w:t xml:space="preserve"> (</w:t>
      </w:r>
      <w:r w:rsidR="0061099D">
        <w:rPr>
          <w:rFonts w:cstheme="minorHAnsi"/>
          <w:sz w:val="24"/>
          <w:szCs w:val="24"/>
        </w:rPr>
        <w:t xml:space="preserve">Academic </w:t>
      </w:r>
      <w:proofErr w:type="gramStart"/>
      <w:r w:rsidR="0061099D">
        <w:rPr>
          <w:rFonts w:cstheme="minorHAnsi"/>
          <w:sz w:val="24"/>
          <w:szCs w:val="24"/>
        </w:rPr>
        <w:t xml:space="preserve">staff) </w:t>
      </w:r>
      <w:r w:rsidRPr="006E6134">
        <w:rPr>
          <w:rFonts w:cstheme="minorHAnsi"/>
          <w:sz w:val="24"/>
          <w:szCs w:val="24"/>
        </w:rPr>
        <w:t xml:space="preserve"> for</w:t>
      </w:r>
      <w:proofErr w:type="gramEnd"/>
      <w:r w:rsidRPr="006E6134">
        <w:rPr>
          <w:rFonts w:cstheme="minorHAnsi"/>
          <w:sz w:val="24"/>
          <w:szCs w:val="24"/>
        </w:rPr>
        <w:t xml:space="preserve"> accountability</w:t>
      </w:r>
    </w:p>
    <w:p w14:paraId="7EB5FEA9" w14:textId="77777777" w:rsidR="00922A7C" w:rsidRPr="00922A7C" w:rsidRDefault="006E6134" w:rsidP="00922A7C">
      <w:pPr>
        <w:pStyle w:val="ListParagraph"/>
        <w:numPr>
          <w:ilvl w:val="0"/>
          <w:numId w:val="3"/>
        </w:numPr>
        <w:spacing w:line="360" w:lineRule="auto"/>
        <w:rPr>
          <w:rFonts w:cstheme="minorHAnsi"/>
          <w:sz w:val="24"/>
          <w:szCs w:val="24"/>
        </w:rPr>
      </w:pPr>
      <w:r w:rsidRPr="006E6134">
        <w:rPr>
          <w:rFonts w:cstheme="minorHAnsi"/>
          <w:sz w:val="24"/>
          <w:szCs w:val="24"/>
        </w:rPr>
        <w:t xml:space="preserve">The proposal must have outputs such as working papers published in the Lira University Review (LUREV), Peer </w:t>
      </w:r>
      <w:r w:rsidR="00A61D0D">
        <w:rPr>
          <w:rFonts w:cstheme="minorHAnsi"/>
          <w:sz w:val="24"/>
          <w:szCs w:val="24"/>
        </w:rPr>
        <w:t>peer-reviewed journals</w:t>
      </w:r>
      <w:r w:rsidRPr="006E6134">
        <w:rPr>
          <w:rFonts w:cstheme="minorHAnsi"/>
          <w:sz w:val="24"/>
          <w:szCs w:val="24"/>
        </w:rPr>
        <w:t xml:space="preserve">, policy statements/briefs, creative products, innovation materials, demonstrable community outreach activities, manuscripts, etc.  </w:t>
      </w:r>
    </w:p>
    <w:p w14:paraId="26F798B3" w14:textId="77777777" w:rsidR="00433F3D" w:rsidRPr="00922A7C" w:rsidRDefault="00433F3D" w:rsidP="00922A7C">
      <w:pPr>
        <w:spacing w:after="0"/>
        <w:jc w:val="both"/>
        <w:rPr>
          <w:b/>
          <w:bCs/>
          <w:color w:val="4472C4" w:themeColor="accent5"/>
          <w:sz w:val="28"/>
          <w:szCs w:val="28"/>
        </w:rPr>
      </w:pPr>
      <w:r w:rsidRPr="00922A7C">
        <w:rPr>
          <w:b/>
          <w:bCs/>
          <w:color w:val="4472C4" w:themeColor="accent5"/>
          <w:sz w:val="28"/>
          <w:szCs w:val="28"/>
        </w:rPr>
        <w:t xml:space="preserve">SECTION C: GRANT </w:t>
      </w:r>
      <w:r w:rsidR="00122B48" w:rsidRPr="00922A7C">
        <w:rPr>
          <w:b/>
          <w:bCs/>
          <w:color w:val="4472C4" w:themeColor="accent5"/>
          <w:sz w:val="28"/>
          <w:szCs w:val="28"/>
        </w:rPr>
        <w:t>SELECTION CRITERIA</w:t>
      </w:r>
    </w:p>
    <w:p w14:paraId="03A9D5E2" w14:textId="77777777" w:rsidR="00122B48" w:rsidRDefault="00122B48" w:rsidP="00922A7C">
      <w:pPr>
        <w:spacing w:line="360" w:lineRule="auto"/>
        <w:jc w:val="both"/>
        <w:rPr>
          <w:bCs/>
          <w:sz w:val="23"/>
          <w:szCs w:val="23"/>
        </w:rPr>
      </w:pPr>
      <w:r w:rsidRPr="00122B48">
        <w:rPr>
          <w:bCs/>
          <w:sz w:val="23"/>
          <w:szCs w:val="23"/>
        </w:rPr>
        <w:t>The submitted proposal should meet the following broadly defined criteria to be accepted for funding in the FY 2023/2024:</w:t>
      </w:r>
    </w:p>
    <w:p w14:paraId="257F0430" w14:textId="77777777" w:rsidR="007C7010" w:rsidRPr="00922A7C" w:rsidRDefault="00BD75A5" w:rsidP="00922A7C">
      <w:pPr>
        <w:spacing w:after="0"/>
        <w:jc w:val="both"/>
        <w:rPr>
          <w:b/>
          <w:bCs/>
          <w:color w:val="ED7D31" w:themeColor="accent2"/>
          <w:sz w:val="24"/>
          <w:szCs w:val="24"/>
        </w:rPr>
      </w:pPr>
      <w:r w:rsidRPr="00922A7C">
        <w:rPr>
          <w:b/>
          <w:bCs/>
          <w:color w:val="ED7D31" w:themeColor="accent2"/>
          <w:sz w:val="24"/>
          <w:szCs w:val="24"/>
        </w:rPr>
        <w:t xml:space="preserve">C1. </w:t>
      </w:r>
      <w:r w:rsidR="007C7010" w:rsidRPr="00922A7C">
        <w:rPr>
          <w:b/>
          <w:bCs/>
          <w:color w:val="ED7D31" w:themeColor="accent2"/>
          <w:sz w:val="24"/>
          <w:szCs w:val="24"/>
        </w:rPr>
        <w:t>Relevance</w:t>
      </w:r>
    </w:p>
    <w:p w14:paraId="14D06B0D" w14:textId="77777777" w:rsidR="00BD75A5" w:rsidRDefault="00BD75A5" w:rsidP="00922A7C">
      <w:pPr>
        <w:spacing w:line="360" w:lineRule="auto"/>
        <w:jc w:val="both"/>
        <w:rPr>
          <w:rFonts w:cstheme="minorHAnsi"/>
          <w:sz w:val="24"/>
          <w:szCs w:val="24"/>
        </w:rPr>
      </w:pPr>
      <w:r w:rsidRPr="00A61D0D">
        <w:rPr>
          <w:rFonts w:cstheme="minorHAnsi"/>
          <w:sz w:val="24"/>
          <w:szCs w:val="24"/>
        </w:rPr>
        <w:t>Proposals should be in line with the priority areas (LU SRIA). The proposal should clearly demonstrate how it would contribute to the strengthening of research excellence and innovation development/commercialization (innovation grants) of Lira University (LU).</w:t>
      </w:r>
    </w:p>
    <w:p w14:paraId="1AA77B63" w14:textId="77777777" w:rsidR="007C7010" w:rsidRPr="00922A7C" w:rsidRDefault="00BD75A5" w:rsidP="00922A7C">
      <w:pPr>
        <w:spacing w:after="0"/>
        <w:jc w:val="both"/>
        <w:rPr>
          <w:rFonts w:cstheme="minorHAnsi"/>
          <w:b/>
          <w:color w:val="ED7D31" w:themeColor="accent2"/>
          <w:sz w:val="24"/>
          <w:szCs w:val="24"/>
        </w:rPr>
      </w:pPr>
      <w:r w:rsidRPr="00922A7C">
        <w:rPr>
          <w:rFonts w:cstheme="minorHAnsi"/>
          <w:b/>
          <w:color w:val="ED7D31" w:themeColor="accent2"/>
          <w:sz w:val="24"/>
          <w:szCs w:val="24"/>
        </w:rPr>
        <w:t>C2. Innovation</w:t>
      </w:r>
    </w:p>
    <w:p w14:paraId="26353825" w14:textId="43EC6BBC" w:rsidR="00BD75A5" w:rsidRDefault="00BD75A5" w:rsidP="00922A7C">
      <w:pPr>
        <w:spacing w:line="360" w:lineRule="auto"/>
        <w:jc w:val="both"/>
        <w:rPr>
          <w:rFonts w:cstheme="minorHAnsi"/>
          <w:sz w:val="24"/>
          <w:szCs w:val="24"/>
        </w:rPr>
      </w:pPr>
      <w:r w:rsidRPr="00BD75A5">
        <w:rPr>
          <w:rFonts w:cstheme="minorHAnsi"/>
          <w:sz w:val="24"/>
          <w:szCs w:val="24"/>
        </w:rPr>
        <w:t xml:space="preserve">The proposal should clearly define the unique research idea, product or technology and the scientific or technological challenge it is addressing. The Fund will preferably award proposals </w:t>
      </w:r>
      <w:r>
        <w:rPr>
          <w:rFonts w:cstheme="minorHAnsi"/>
          <w:sz w:val="24"/>
          <w:szCs w:val="24"/>
        </w:rPr>
        <w:t xml:space="preserve">with a focus on applied research. </w:t>
      </w:r>
      <w:r w:rsidRPr="00BD75A5">
        <w:rPr>
          <w:rFonts w:cstheme="minorHAnsi"/>
          <w:sz w:val="24"/>
          <w:szCs w:val="24"/>
        </w:rPr>
        <w:t>For innovation grants</w:t>
      </w:r>
      <w:r w:rsidR="00827161">
        <w:rPr>
          <w:rFonts w:cstheme="minorHAnsi"/>
          <w:sz w:val="24"/>
          <w:szCs w:val="24"/>
        </w:rPr>
        <w:t>,</w:t>
      </w:r>
      <w:r w:rsidRPr="00BD75A5">
        <w:rPr>
          <w:rFonts w:cstheme="minorHAnsi"/>
          <w:sz w:val="24"/>
          <w:szCs w:val="24"/>
        </w:rPr>
        <w:t xml:space="preserve"> the proposal should clearly define the quality and originality of the innovative idea and its potential for future commercialization.</w:t>
      </w:r>
    </w:p>
    <w:p w14:paraId="62B7993D" w14:textId="77777777" w:rsidR="007C7010" w:rsidRPr="0091181B" w:rsidRDefault="00BD75A5" w:rsidP="00922A7C">
      <w:pPr>
        <w:spacing w:after="0"/>
        <w:jc w:val="both"/>
        <w:rPr>
          <w:rFonts w:cstheme="minorHAnsi"/>
          <w:b/>
          <w:color w:val="ED7D31" w:themeColor="accent2"/>
          <w:sz w:val="24"/>
          <w:szCs w:val="24"/>
        </w:rPr>
      </w:pPr>
      <w:r w:rsidRPr="0091181B">
        <w:rPr>
          <w:rFonts w:cstheme="minorHAnsi"/>
          <w:b/>
          <w:color w:val="ED7D31" w:themeColor="accent2"/>
          <w:sz w:val="24"/>
          <w:szCs w:val="24"/>
        </w:rPr>
        <w:t>C3.</w:t>
      </w:r>
      <w:r w:rsidRPr="0091181B">
        <w:rPr>
          <w:b/>
          <w:color w:val="ED7D31" w:themeColor="accent2"/>
        </w:rPr>
        <w:t xml:space="preserve"> </w:t>
      </w:r>
      <w:r w:rsidRPr="0091181B">
        <w:rPr>
          <w:rFonts w:cstheme="minorHAnsi"/>
          <w:b/>
          <w:color w:val="ED7D31" w:themeColor="accent2"/>
          <w:sz w:val="24"/>
          <w:szCs w:val="24"/>
        </w:rPr>
        <w:t>Impact</w:t>
      </w:r>
    </w:p>
    <w:p w14:paraId="387EA309" w14:textId="77777777" w:rsidR="00BD75A5" w:rsidRDefault="00BD75A5" w:rsidP="00922A7C">
      <w:pPr>
        <w:spacing w:line="360" w:lineRule="auto"/>
        <w:jc w:val="both"/>
        <w:rPr>
          <w:rFonts w:cstheme="minorHAnsi"/>
          <w:sz w:val="24"/>
          <w:szCs w:val="24"/>
        </w:rPr>
      </w:pPr>
      <w:r w:rsidRPr="00BD75A5">
        <w:rPr>
          <w:rFonts w:cstheme="minorHAnsi"/>
          <w:sz w:val="24"/>
          <w:szCs w:val="24"/>
        </w:rPr>
        <w:t xml:space="preserve">The proposal should indicate how it will provide the </w:t>
      </w:r>
      <w:r w:rsidR="007C7010">
        <w:rPr>
          <w:rFonts w:cstheme="minorHAnsi"/>
          <w:sz w:val="24"/>
          <w:szCs w:val="24"/>
        </w:rPr>
        <w:t>value-added</w:t>
      </w:r>
      <w:r w:rsidRPr="00BD75A5">
        <w:rPr>
          <w:rFonts w:cstheme="minorHAnsi"/>
          <w:sz w:val="24"/>
          <w:szCs w:val="24"/>
        </w:rPr>
        <w:t xml:space="preserve"> towards the country’s strategies and socio-economic impact to improve the quality of </w:t>
      </w:r>
      <w:r w:rsidR="007C7010">
        <w:rPr>
          <w:rFonts w:cstheme="minorHAnsi"/>
          <w:sz w:val="24"/>
          <w:szCs w:val="24"/>
        </w:rPr>
        <w:t>life</w:t>
      </w:r>
      <w:r w:rsidRPr="00BD75A5">
        <w:rPr>
          <w:rFonts w:cstheme="minorHAnsi"/>
          <w:sz w:val="24"/>
          <w:szCs w:val="24"/>
        </w:rPr>
        <w:t xml:space="preserve"> of the intended beneficiaries.</w:t>
      </w:r>
    </w:p>
    <w:p w14:paraId="6D415CFE" w14:textId="77777777" w:rsidR="007C7010" w:rsidRPr="0091181B" w:rsidRDefault="007C7010" w:rsidP="00922A7C">
      <w:pPr>
        <w:spacing w:after="0"/>
        <w:jc w:val="both"/>
        <w:rPr>
          <w:rFonts w:cstheme="minorHAnsi"/>
          <w:b/>
          <w:color w:val="ED7D31" w:themeColor="accent2"/>
          <w:sz w:val="24"/>
          <w:szCs w:val="24"/>
        </w:rPr>
      </w:pPr>
      <w:r w:rsidRPr="0091181B">
        <w:rPr>
          <w:rFonts w:cstheme="minorHAnsi"/>
          <w:b/>
          <w:color w:val="ED7D31" w:themeColor="accent2"/>
          <w:sz w:val="24"/>
          <w:szCs w:val="24"/>
        </w:rPr>
        <w:t>C4. Feasibility</w:t>
      </w:r>
    </w:p>
    <w:p w14:paraId="7F997C79" w14:textId="6001CAD0" w:rsidR="00BD75A5" w:rsidRDefault="007C7010" w:rsidP="00922A7C">
      <w:pPr>
        <w:spacing w:line="360" w:lineRule="auto"/>
        <w:jc w:val="both"/>
        <w:rPr>
          <w:rFonts w:cstheme="minorHAnsi"/>
          <w:sz w:val="24"/>
          <w:szCs w:val="24"/>
        </w:rPr>
      </w:pPr>
      <w:r w:rsidRPr="007C7010">
        <w:rPr>
          <w:rFonts w:cstheme="minorHAnsi"/>
          <w:sz w:val="24"/>
          <w:szCs w:val="24"/>
        </w:rPr>
        <w:t xml:space="preserve">The proposal should </w:t>
      </w:r>
      <w:r w:rsidR="0061099D">
        <w:rPr>
          <w:rFonts w:cstheme="minorHAnsi"/>
          <w:sz w:val="24"/>
          <w:szCs w:val="24"/>
        </w:rPr>
        <w:t xml:space="preserve">either </w:t>
      </w:r>
      <w:r w:rsidRPr="007C7010">
        <w:rPr>
          <w:rFonts w:cstheme="minorHAnsi"/>
          <w:sz w:val="24"/>
          <w:szCs w:val="24"/>
        </w:rPr>
        <w:t xml:space="preserve">demonstrate the </w:t>
      </w:r>
      <w:r w:rsidR="0061099D">
        <w:rPr>
          <w:rFonts w:cstheme="minorHAnsi"/>
          <w:sz w:val="24"/>
          <w:szCs w:val="24"/>
        </w:rPr>
        <w:t>c</w:t>
      </w:r>
      <w:r w:rsidRPr="007C7010">
        <w:rPr>
          <w:rFonts w:cstheme="minorHAnsi"/>
          <w:sz w:val="24"/>
          <w:szCs w:val="24"/>
        </w:rPr>
        <w:t xml:space="preserve">apacity of Lira University to support the research based on the available human </w:t>
      </w:r>
      <w:r>
        <w:rPr>
          <w:rFonts w:cstheme="minorHAnsi"/>
          <w:sz w:val="24"/>
          <w:szCs w:val="24"/>
        </w:rPr>
        <w:t xml:space="preserve">resources and research facilities. </w:t>
      </w:r>
      <w:r w:rsidRPr="007C7010">
        <w:rPr>
          <w:rFonts w:cstheme="minorHAnsi"/>
          <w:sz w:val="24"/>
          <w:szCs w:val="24"/>
        </w:rPr>
        <w:t xml:space="preserve">Or the researchers </w:t>
      </w:r>
      <w:r>
        <w:rPr>
          <w:rFonts w:cstheme="minorHAnsi"/>
          <w:sz w:val="24"/>
          <w:szCs w:val="24"/>
        </w:rPr>
        <w:t>are</w:t>
      </w:r>
      <w:r w:rsidRPr="007C7010">
        <w:rPr>
          <w:rFonts w:cstheme="minorHAnsi"/>
          <w:sz w:val="24"/>
          <w:szCs w:val="24"/>
        </w:rPr>
        <w:t xml:space="preserve"> partnering or collaborating with another institution</w:t>
      </w:r>
      <w:r w:rsidR="00827161">
        <w:rPr>
          <w:rFonts w:cstheme="minorHAnsi"/>
          <w:sz w:val="24"/>
          <w:szCs w:val="24"/>
        </w:rPr>
        <w:t xml:space="preserve">. </w:t>
      </w:r>
      <w:r w:rsidRPr="007C7010">
        <w:rPr>
          <w:rFonts w:cstheme="minorHAnsi"/>
          <w:sz w:val="24"/>
          <w:szCs w:val="24"/>
        </w:rPr>
        <w:t>The proposal must demonstrate the capacity of the partner institutions to contribute towards the research excellence and innovation capacity of the research teams and Host Institutions.</w:t>
      </w:r>
    </w:p>
    <w:p w14:paraId="3E492611" w14:textId="77777777" w:rsidR="00922A7C" w:rsidRDefault="00922A7C" w:rsidP="00922A7C">
      <w:pPr>
        <w:spacing w:line="360" w:lineRule="auto"/>
        <w:jc w:val="both"/>
        <w:rPr>
          <w:rFonts w:cstheme="minorHAnsi"/>
          <w:sz w:val="24"/>
          <w:szCs w:val="24"/>
        </w:rPr>
      </w:pPr>
    </w:p>
    <w:p w14:paraId="17463A9C" w14:textId="77777777" w:rsidR="007C7010" w:rsidRPr="00922A7C" w:rsidRDefault="00BD75A5" w:rsidP="00922A7C">
      <w:pPr>
        <w:spacing w:after="0"/>
        <w:jc w:val="both"/>
        <w:rPr>
          <w:rFonts w:cstheme="minorHAnsi"/>
          <w:b/>
          <w:color w:val="ED7D31" w:themeColor="accent2"/>
          <w:sz w:val="24"/>
          <w:szCs w:val="24"/>
        </w:rPr>
      </w:pPr>
      <w:r w:rsidRPr="00922A7C">
        <w:rPr>
          <w:rFonts w:cstheme="minorHAnsi"/>
          <w:b/>
          <w:color w:val="ED7D31" w:themeColor="accent2"/>
          <w:sz w:val="24"/>
          <w:szCs w:val="24"/>
        </w:rPr>
        <w:lastRenderedPageBreak/>
        <w:t xml:space="preserve">C5: </w:t>
      </w:r>
      <w:r w:rsidR="007C7010" w:rsidRPr="00922A7C">
        <w:rPr>
          <w:rFonts w:cstheme="minorHAnsi"/>
          <w:b/>
          <w:color w:val="ED7D31" w:themeColor="accent2"/>
          <w:sz w:val="24"/>
          <w:szCs w:val="24"/>
        </w:rPr>
        <w:t>Team Composition</w:t>
      </w:r>
    </w:p>
    <w:p w14:paraId="7C4343BE" w14:textId="17994B9B" w:rsidR="00BD75A5" w:rsidRPr="007C7010" w:rsidRDefault="007C7010" w:rsidP="00922A7C">
      <w:pPr>
        <w:spacing w:line="360" w:lineRule="auto"/>
        <w:jc w:val="both"/>
        <w:rPr>
          <w:rFonts w:cstheme="minorHAnsi"/>
          <w:sz w:val="24"/>
          <w:szCs w:val="24"/>
        </w:rPr>
      </w:pPr>
      <w:r w:rsidRPr="007C7010">
        <w:rPr>
          <w:rFonts w:cstheme="minorHAnsi"/>
          <w:sz w:val="24"/>
          <w:szCs w:val="24"/>
        </w:rPr>
        <w:t xml:space="preserve">The proposal must clearly define the roles of each partner, and how collaboration will be done with other faculty at the University for </w:t>
      </w:r>
      <w:r>
        <w:rPr>
          <w:rFonts w:cstheme="minorHAnsi"/>
          <w:sz w:val="24"/>
          <w:szCs w:val="24"/>
        </w:rPr>
        <w:t>Successful Project Implementation</w:t>
      </w:r>
      <w:r w:rsidRPr="007C7010">
        <w:rPr>
          <w:rFonts w:cstheme="minorHAnsi"/>
          <w:sz w:val="24"/>
          <w:szCs w:val="24"/>
        </w:rPr>
        <w:t xml:space="preserve">. </w:t>
      </w:r>
      <w:r w:rsidR="00827161">
        <w:rPr>
          <w:rFonts w:cstheme="minorHAnsi"/>
          <w:sz w:val="24"/>
          <w:szCs w:val="24"/>
        </w:rPr>
        <w:t xml:space="preserve">CVs showing </w:t>
      </w:r>
      <w:r w:rsidRPr="007C7010">
        <w:rPr>
          <w:rFonts w:cstheme="minorHAnsi"/>
          <w:sz w:val="24"/>
          <w:szCs w:val="24"/>
        </w:rPr>
        <w:t>Qualification of project team</w:t>
      </w:r>
      <w:r w:rsidR="00827161">
        <w:rPr>
          <w:rFonts w:cstheme="minorHAnsi"/>
          <w:sz w:val="24"/>
          <w:szCs w:val="24"/>
        </w:rPr>
        <w:t xml:space="preserve"> members</w:t>
      </w:r>
      <w:r w:rsidRPr="007C7010">
        <w:rPr>
          <w:rFonts w:cstheme="minorHAnsi"/>
          <w:sz w:val="24"/>
          <w:szCs w:val="24"/>
        </w:rPr>
        <w:t xml:space="preserve"> will be required. The proposal should demonstrate how men and women may be affected by the project and its results. It should ensure equitable participation of men and women and inclusiveness of persons with disabilities and minority groups if possible</w:t>
      </w:r>
    </w:p>
    <w:p w14:paraId="3B8ABE65" w14:textId="77777777" w:rsidR="00922A7C" w:rsidRDefault="00122B48" w:rsidP="00922A7C">
      <w:pPr>
        <w:spacing w:line="360" w:lineRule="auto"/>
        <w:rPr>
          <w:b/>
          <w:bCs/>
          <w:sz w:val="23"/>
          <w:szCs w:val="23"/>
        </w:rPr>
      </w:pPr>
      <w:r>
        <w:rPr>
          <w:b/>
          <w:bCs/>
          <w:sz w:val="23"/>
          <w:szCs w:val="23"/>
        </w:rPr>
        <w:t xml:space="preserve">Note: </w:t>
      </w:r>
      <w:r w:rsidRPr="00122B48">
        <w:rPr>
          <w:bCs/>
          <w:sz w:val="23"/>
          <w:szCs w:val="23"/>
        </w:rPr>
        <w:t xml:space="preserve">The Grants Management Committee reserves the right to </w:t>
      </w:r>
      <w:r>
        <w:rPr>
          <w:bCs/>
          <w:sz w:val="23"/>
          <w:szCs w:val="23"/>
        </w:rPr>
        <w:t xml:space="preserve">tailor this selection criteria based on the </w:t>
      </w:r>
      <w:r w:rsidRPr="00122B48">
        <w:rPr>
          <w:bCs/>
          <w:sz w:val="23"/>
          <w:szCs w:val="23"/>
        </w:rPr>
        <w:t>prevailing circumstances informed by demand, quality of applications, availability of funds, and level of utilization of funds by grantees.</w:t>
      </w:r>
    </w:p>
    <w:p w14:paraId="54B6F198" w14:textId="77777777" w:rsidR="00433F3D" w:rsidRPr="00922A7C" w:rsidRDefault="00433F3D" w:rsidP="00433F3D">
      <w:pPr>
        <w:rPr>
          <w:b/>
          <w:bCs/>
          <w:color w:val="4472C4" w:themeColor="accent5"/>
          <w:sz w:val="28"/>
          <w:szCs w:val="28"/>
        </w:rPr>
      </w:pPr>
      <w:r w:rsidRPr="00922A7C">
        <w:rPr>
          <w:b/>
          <w:bCs/>
          <w:color w:val="4472C4" w:themeColor="accent5"/>
          <w:sz w:val="28"/>
          <w:szCs w:val="28"/>
        </w:rPr>
        <w:t>SECTION D: THE GRANT PROCESS</w:t>
      </w:r>
    </w:p>
    <w:p w14:paraId="095F4A4F"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D1. Submission of applications</w:t>
      </w:r>
    </w:p>
    <w:p w14:paraId="27B2765E" w14:textId="16974C13" w:rsidR="00264D5B" w:rsidRPr="00264D5B" w:rsidRDefault="00264D5B" w:rsidP="00264D5B">
      <w:pPr>
        <w:spacing w:line="360" w:lineRule="auto"/>
        <w:jc w:val="both"/>
        <w:rPr>
          <w:bCs/>
          <w:sz w:val="23"/>
          <w:szCs w:val="23"/>
        </w:rPr>
      </w:pPr>
      <w:r>
        <w:rPr>
          <w:bCs/>
          <w:sz w:val="23"/>
          <w:szCs w:val="23"/>
        </w:rPr>
        <w:t>A</w:t>
      </w:r>
      <w:r w:rsidRPr="00264D5B">
        <w:rPr>
          <w:bCs/>
          <w:sz w:val="23"/>
          <w:szCs w:val="23"/>
        </w:rPr>
        <w:t xml:space="preserve">pplications will open on </w:t>
      </w:r>
      <w:r w:rsidRPr="002C3F54">
        <w:rPr>
          <w:b/>
          <w:bCs/>
          <w:sz w:val="23"/>
          <w:szCs w:val="23"/>
        </w:rPr>
        <w:t>Monday</w:t>
      </w:r>
      <w:r>
        <w:rPr>
          <w:bCs/>
          <w:sz w:val="23"/>
          <w:szCs w:val="23"/>
        </w:rPr>
        <w:t xml:space="preserve"> </w:t>
      </w:r>
      <w:r w:rsidRPr="0067524A">
        <w:rPr>
          <w:b/>
          <w:bCs/>
          <w:sz w:val="23"/>
          <w:szCs w:val="23"/>
        </w:rPr>
        <w:t>11</w:t>
      </w:r>
      <w:r w:rsidRPr="0067524A">
        <w:rPr>
          <w:b/>
          <w:bCs/>
          <w:sz w:val="23"/>
          <w:szCs w:val="23"/>
          <w:vertAlign w:val="superscript"/>
        </w:rPr>
        <w:t>th</w:t>
      </w:r>
      <w:r w:rsidRPr="0067524A">
        <w:rPr>
          <w:b/>
          <w:bCs/>
          <w:sz w:val="23"/>
          <w:szCs w:val="23"/>
        </w:rPr>
        <w:t xml:space="preserve"> September 2023</w:t>
      </w:r>
      <w:r w:rsidRPr="00264D5B">
        <w:rPr>
          <w:bCs/>
          <w:sz w:val="23"/>
          <w:szCs w:val="23"/>
        </w:rPr>
        <w:t xml:space="preserve">. Submission of applications will be done </w:t>
      </w:r>
      <w:r>
        <w:rPr>
          <w:bCs/>
          <w:sz w:val="23"/>
          <w:szCs w:val="23"/>
        </w:rPr>
        <w:t xml:space="preserve">in </w:t>
      </w:r>
      <w:r w:rsidR="0067524A">
        <w:rPr>
          <w:bCs/>
          <w:sz w:val="23"/>
          <w:szCs w:val="23"/>
        </w:rPr>
        <w:t>hard copy</w:t>
      </w:r>
      <w:r>
        <w:rPr>
          <w:bCs/>
          <w:sz w:val="23"/>
          <w:szCs w:val="23"/>
        </w:rPr>
        <w:t xml:space="preserve"> to the </w:t>
      </w:r>
      <w:r w:rsidRPr="00264D5B">
        <w:rPr>
          <w:bCs/>
          <w:sz w:val="23"/>
          <w:szCs w:val="23"/>
        </w:rPr>
        <w:t>Directorate of Graduate Training and Research</w:t>
      </w:r>
      <w:r>
        <w:rPr>
          <w:bCs/>
          <w:sz w:val="23"/>
          <w:szCs w:val="23"/>
        </w:rPr>
        <w:t xml:space="preserve"> </w:t>
      </w:r>
      <w:r w:rsidR="0067524A">
        <w:rPr>
          <w:bCs/>
          <w:sz w:val="23"/>
          <w:szCs w:val="23"/>
        </w:rPr>
        <w:t>Secretariat</w:t>
      </w:r>
      <w:r w:rsidR="00B70DBF">
        <w:rPr>
          <w:bCs/>
          <w:sz w:val="23"/>
          <w:szCs w:val="23"/>
        </w:rPr>
        <w:t xml:space="preserve"> along with a soft copy to the email</w:t>
      </w:r>
      <w:r w:rsidR="00B86D32">
        <w:rPr>
          <w:bCs/>
          <w:sz w:val="23"/>
          <w:szCs w:val="23"/>
        </w:rPr>
        <w:t xml:space="preserve">: </w:t>
      </w:r>
      <w:hyperlink r:id="rId7" w:history="1">
        <w:r w:rsidR="00B86D32" w:rsidRPr="003524B0">
          <w:rPr>
            <w:rStyle w:val="Hyperlink"/>
            <w:bCs/>
            <w:sz w:val="23"/>
            <w:szCs w:val="23"/>
          </w:rPr>
          <w:t>grants@lirauni.ac.ug</w:t>
        </w:r>
      </w:hyperlink>
      <w:r w:rsidR="00B86D32">
        <w:rPr>
          <w:bCs/>
          <w:sz w:val="23"/>
          <w:szCs w:val="23"/>
        </w:rPr>
        <w:t xml:space="preserve">. </w:t>
      </w:r>
      <w:r w:rsidRPr="00264D5B">
        <w:rPr>
          <w:bCs/>
          <w:sz w:val="23"/>
          <w:szCs w:val="23"/>
        </w:rPr>
        <w:t xml:space="preserve">Applicants must first register </w:t>
      </w:r>
      <w:r w:rsidR="0067524A">
        <w:rPr>
          <w:bCs/>
          <w:sz w:val="23"/>
          <w:szCs w:val="23"/>
        </w:rPr>
        <w:t>on</w:t>
      </w:r>
      <w:r w:rsidRPr="00264D5B">
        <w:rPr>
          <w:bCs/>
          <w:sz w:val="23"/>
          <w:szCs w:val="23"/>
        </w:rPr>
        <w:t xml:space="preserve"> the grants website and create </w:t>
      </w:r>
      <w:r w:rsidR="0067524A">
        <w:rPr>
          <w:bCs/>
          <w:sz w:val="23"/>
          <w:szCs w:val="23"/>
        </w:rPr>
        <w:t>an</w:t>
      </w:r>
      <w:r w:rsidRPr="00264D5B">
        <w:rPr>
          <w:bCs/>
          <w:sz w:val="23"/>
          <w:szCs w:val="23"/>
        </w:rPr>
        <w:t xml:space="preserve"> account in order to access the application</w:t>
      </w:r>
      <w:r w:rsidR="0067524A">
        <w:rPr>
          <w:bCs/>
          <w:sz w:val="23"/>
          <w:szCs w:val="23"/>
        </w:rPr>
        <w:t xml:space="preserve"> form</w:t>
      </w:r>
      <w:r w:rsidRPr="00264D5B">
        <w:rPr>
          <w:bCs/>
          <w:sz w:val="23"/>
          <w:szCs w:val="23"/>
        </w:rPr>
        <w:t xml:space="preserve">. The Grants Committee will not consider applications submitted by any other means. Applicants are therefore advised to prepare their submissions </w:t>
      </w:r>
      <w:r w:rsidR="0067524A">
        <w:rPr>
          <w:bCs/>
          <w:sz w:val="23"/>
          <w:szCs w:val="23"/>
        </w:rPr>
        <w:t>on time</w:t>
      </w:r>
      <w:r w:rsidRPr="00264D5B">
        <w:rPr>
          <w:bCs/>
          <w:sz w:val="23"/>
          <w:szCs w:val="23"/>
        </w:rPr>
        <w:t xml:space="preserve">. The closing date for submissions is </w:t>
      </w:r>
      <w:r w:rsidR="0067524A" w:rsidRPr="002C3F54">
        <w:rPr>
          <w:b/>
          <w:bCs/>
          <w:sz w:val="23"/>
          <w:szCs w:val="23"/>
        </w:rPr>
        <w:t>Wednesday,</w:t>
      </w:r>
      <w:r w:rsidR="0067524A">
        <w:rPr>
          <w:bCs/>
          <w:sz w:val="23"/>
          <w:szCs w:val="23"/>
        </w:rPr>
        <w:t xml:space="preserve"> </w:t>
      </w:r>
      <w:r w:rsidR="0067524A" w:rsidRPr="0067524A">
        <w:rPr>
          <w:b/>
          <w:bCs/>
          <w:sz w:val="23"/>
          <w:szCs w:val="23"/>
        </w:rPr>
        <w:t>4</w:t>
      </w:r>
      <w:r w:rsidR="0067524A" w:rsidRPr="0067524A">
        <w:rPr>
          <w:b/>
          <w:bCs/>
          <w:sz w:val="23"/>
          <w:szCs w:val="23"/>
          <w:vertAlign w:val="superscript"/>
        </w:rPr>
        <w:t>th</w:t>
      </w:r>
      <w:r w:rsidR="0067524A" w:rsidRPr="0067524A">
        <w:rPr>
          <w:b/>
          <w:bCs/>
          <w:sz w:val="23"/>
          <w:szCs w:val="23"/>
        </w:rPr>
        <w:t xml:space="preserve"> October 2023</w:t>
      </w:r>
      <w:r w:rsidRPr="00264D5B">
        <w:rPr>
          <w:bCs/>
          <w:sz w:val="23"/>
          <w:szCs w:val="23"/>
        </w:rPr>
        <w:t>.</w:t>
      </w:r>
    </w:p>
    <w:p w14:paraId="0473BA6F"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D2. Application form</w:t>
      </w:r>
    </w:p>
    <w:p w14:paraId="66C3F656" w14:textId="5BEE2919" w:rsidR="0067524A" w:rsidRPr="0067524A" w:rsidRDefault="0067524A" w:rsidP="0067524A">
      <w:pPr>
        <w:spacing w:line="360" w:lineRule="auto"/>
        <w:jc w:val="both"/>
        <w:rPr>
          <w:bCs/>
          <w:sz w:val="23"/>
          <w:szCs w:val="23"/>
        </w:rPr>
      </w:pPr>
      <w:r w:rsidRPr="0067524A">
        <w:rPr>
          <w:bCs/>
          <w:sz w:val="23"/>
          <w:szCs w:val="23"/>
        </w:rPr>
        <w:t xml:space="preserve">The application form is available </w:t>
      </w:r>
      <w:r w:rsidR="00B70DBF">
        <w:rPr>
          <w:bCs/>
          <w:sz w:val="23"/>
          <w:szCs w:val="23"/>
        </w:rPr>
        <w:t>online</w:t>
      </w:r>
      <w:r w:rsidRPr="0067524A">
        <w:rPr>
          <w:bCs/>
          <w:sz w:val="23"/>
          <w:szCs w:val="23"/>
        </w:rPr>
        <w:t xml:space="preserve"> at the following link: </w:t>
      </w:r>
      <w:r w:rsidR="00B70DBF" w:rsidRPr="00B70DBF">
        <w:rPr>
          <w:bCs/>
          <w:color w:val="C00000"/>
          <w:sz w:val="23"/>
          <w:szCs w:val="23"/>
        </w:rPr>
        <w:t>…………………………</w:t>
      </w:r>
      <w:r w:rsidRPr="00B70DBF">
        <w:rPr>
          <w:bCs/>
          <w:color w:val="C00000"/>
          <w:sz w:val="23"/>
          <w:szCs w:val="23"/>
        </w:rPr>
        <w:t>.</w:t>
      </w:r>
      <w:r w:rsidRPr="0067524A">
        <w:rPr>
          <w:bCs/>
          <w:sz w:val="23"/>
          <w:szCs w:val="23"/>
        </w:rPr>
        <w:t xml:space="preserve"> </w:t>
      </w:r>
      <w:r w:rsidR="00B70DBF">
        <w:rPr>
          <w:bCs/>
          <w:sz w:val="23"/>
          <w:szCs w:val="23"/>
        </w:rPr>
        <w:t>A</w:t>
      </w:r>
      <w:r w:rsidRPr="0067524A">
        <w:rPr>
          <w:bCs/>
          <w:sz w:val="23"/>
          <w:szCs w:val="23"/>
        </w:rPr>
        <w:t xml:space="preserve">pplicants </w:t>
      </w:r>
      <w:r w:rsidR="00B70DBF">
        <w:rPr>
          <w:bCs/>
          <w:sz w:val="23"/>
          <w:szCs w:val="23"/>
        </w:rPr>
        <w:t>should</w:t>
      </w:r>
      <w:r w:rsidRPr="0067524A">
        <w:rPr>
          <w:bCs/>
          <w:sz w:val="23"/>
          <w:szCs w:val="23"/>
        </w:rPr>
        <w:t xml:space="preserve"> </w:t>
      </w:r>
      <w:r w:rsidR="00B70DBF">
        <w:rPr>
          <w:bCs/>
          <w:sz w:val="23"/>
          <w:szCs w:val="23"/>
        </w:rPr>
        <w:t>download</w:t>
      </w:r>
      <w:r w:rsidRPr="0067524A">
        <w:rPr>
          <w:bCs/>
          <w:sz w:val="23"/>
          <w:szCs w:val="23"/>
        </w:rPr>
        <w:t xml:space="preserve"> a PDF/MS Word version of the form </w:t>
      </w:r>
      <w:r w:rsidR="00B70DBF">
        <w:rPr>
          <w:bCs/>
          <w:sz w:val="23"/>
          <w:szCs w:val="23"/>
        </w:rPr>
        <w:t>for</w:t>
      </w:r>
      <w:r w:rsidRPr="0067524A">
        <w:rPr>
          <w:bCs/>
          <w:sz w:val="23"/>
          <w:szCs w:val="23"/>
        </w:rPr>
        <w:t xml:space="preserve"> filling in the domains</w:t>
      </w:r>
      <w:r w:rsidR="00B70DBF">
        <w:rPr>
          <w:bCs/>
          <w:sz w:val="23"/>
          <w:szCs w:val="23"/>
        </w:rPr>
        <w:t xml:space="preserve"> before submitting a hard copy to the office of the Secretariat along with a </w:t>
      </w:r>
      <w:r w:rsidR="00A10CB4">
        <w:rPr>
          <w:bCs/>
          <w:sz w:val="23"/>
          <w:szCs w:val="23"/>
        </w:rPr>
        <w:t>soft copy</w:t>
      </w:r>
      <w:r w:rsidR="00B70DBF">
        <w:rPr>
          <w:bCs/>
          <w:sz w:val="23"/>
          <w:szCs w:val="23"/>
        </w:rPr>
        <w:t xml:space="preserve"> to the email:</w:t>
      </w:r>
      <w:r w:rsidR="007C23FD">
        <w:rPr>
          <w:bCs/>
          <w:sz w:val="23"/>
          <w:szCs w:val="23"/>
        </w:rPr>
        <w:t xml:space="preserve"> </w:t>
      </w:r>
      <w:hyperlink r:id="rId8" w:history="1">
        <w:r w:rsidR="007C23FD" w:rsidRPr="003524B0">
          <w:rPr>
            <w:rStyle w:val="Hyperlink"/>
            <w:bCs/>
            <w:sz w:val="23"/>
            <w:szCs w:val="23"/>
          </w:rPr>
          <w:t>grants@lirauni.ac.ug</w:t>
        </w:r>
      </w:hyperlink>
      <w:r w:rsidR="007C23FD">
        <w:rPr>
          <w:bCs/>
          <w:sz w:val="23"/>
          <w:szCs w:val="23"/>
        </w:rPr>
        <w:t xml:space="preserve"> </w:t>
      </w:r>
      <w:r w:rsidRPr="00B70DBF">
        <w:rPr>
          <w:bCs/>
          <w:color w:val="C00000"/>
          <w:sz w:val="23"/>
          <w:szCs w:val="23"/>
        </w:rPr>
        <w:t xml:space="preserve"> </w:t>
      </w:r>
    </w:p>
    <w:p w14:paraId="06CE1C0F"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D3. Rules governing applications</w:t>
      </w:r>
    </w:p>
    <w:p w14:paraId="2C17249F" w14:textId="57594658" w:rsidR="00B70DBF" w:rsidRPr="0060513B" w:rsidRDefault="0060513B" w:rsidP="0060513B">
      <w:pPr>
        <w:spacing w:line="360" w:lineRule="auto"/>
        <w:jc w:val="both"/>
        <w:rPr>
          <w:bCs/>
          <w:sz w:val="23"/>
          <w:szCs w:val="23"/>
        </w:rPr>
      </w:pPr>
      <w:r w:rsidRPr="0060513B">
        <w:rPr>
          <w:bCs/>
          <w:sz w:val="23"/>
          <w:szCs w:val="23"/>
        </w:rPr>
        <w:t xml:space="preserve">All applications should be written in English. All applications should be submitted via the </w:t>
      </w:r>
      <w:proofErr w:type="gramStart"/>
      <w:r w:rsidR="007C23FD">
        <w:rPr>
          <w:bCs/>
          <w:sz w:val="23"/>
          <w:szCs w:val="23"/>
        </w:rPr>
        <w:t xml:space="preserve">above </w:t>
      </w:r>
      <w:r w:rsidRPr="0060513B">
        <w:rPr>
          <w:bCs/>
          <w:sz w:val="23"/>
          <w:szCs w:val="23"/>
        </w:rPr>
        <w:t>mentioned</w:t>
      </w:r>
      <w:proofErr w:type="gramEnd"/>
      <w:r w:rsidR="007C23FD">
        <w:rPr>
          <w:bCs/>
          <w:sz w:val="23"/>
          <w:szCs w:val="23"/>
        </w:rPr>
        <w:t xml:space="preserve"> </w:t>
      </w:r>
      <w:r>
        <w:rPr>
          <w:bCs/>
          <w:sz w:val="23"/>
          <w:szCs w:val="23"/>
        </w:rPr>
        <w:t>channels</w:t>
      </w:r>
      <w:r w:rsidRPr="0060513B">
        <w:rPr>
          <w:bCs/>
          <w:sz w:val="23"/>
          <w:szCs w:val="23"/>
        </w:rPr>
        <w:t>. Complete applications must b</w:t>
      </w:r>
      <w:r w:rsidR="00A10CB4">
        <w:rPr>
          <w:bCs/>
          <w:sz w:val="23"/>
          <w:szCs w:val="23"/>
        </w:rPr>
        <w:t>e submitted not later than 5:00 p.m.</w:t>
      </w:r>
      <w:r w:rsidRPr="0060513B">
        <w:rPr>
          <w:bCs/>
          <w:sz w:val="23"/>
          <w:szCs w:val="23"/>
        </w:rPr>
        <w:t xml:space="preserve"> East African Time on the closing date. No submissions after </w:t>
      </w:r>
      <w:r w:rsidR="00A10CB4">
        <w:rPr>
          <w:bCs/>
          <w:sz w:val="23"/>
          <w:szCs w:val="23"/>
        </w:rPr>
        <w:t xml:space="preserve">the </w:t>
      </w:r>
      <w:r w:rsidRPr="0060513B">
        <w:rPr>
          <w:bCs/>
          <w:sz w:val="23"/>
          <w:szCs w:val="23"/>
        </w:rPr>
        <w:t>closure of applications will be accepted. Any attempt at solicitation of acceptance beyond this date will not be entertained. The Grants Committee bears no responsibility for submissions that are not completed in time and incomplete submissions will not be considered. If none of the submitted</w:t>
      </w:r>
      <w:r w:rsidR="00A10CB4">
        <w:rPr>
          <w:bCs/>
          <w:sz w:val="23"/>
          <w:szCs w:val="23"/>
        </w:rPr>
        <w:t xml:space="preserve"> applications meets the requirements</w:t>
      </w:r>
      <w:r w:rsidRPr="0060513B">
        <w:rPr>
          <w:bCs/>
          <w:sz w:val="23"/>
          <w:szCs w:val="23"/>
        </w:rPr>
        <w:t xml:space="preserve"> to receive a grant, the call may be reopened at the sole discretion of the Grants Management Committee. An individual researcher should not submit more than ONE application as a principal investigator. However, it is allowable for a PI on a submitted project to be a team member on </w:t>
      </w:r>
      <w:r w:rsidRPr="0060513B">
        <w:rPr>
          <w:bCs/>
          <w:sz w:val="23"/>
          <w:szCs w:val="23"/>
        </w:rPr>
        <w:lastRenderedPageBreak/>
        <w:t>other submitted projects.</w:t>
      </w:r>
      <w:r w:rsidR="00A10CB4">
        <w:rPr>
          <w:bCs/>
          <w:sz w:val="23"/>
          <w:szCs w:val="23"/>
        </w:rPr>
        <w:t xml:space="preserve"> </w:t>
      </w:r>
      <w:r w:rsidRPr="0060513B">
        <w:rPr>
          <w:bCs/>
          <w:sz w:val="23"/>
          <w:szCs w:val="23"/>
        </w:rPr>
        <w:t xml:space="preserve">Participants agree to assume any and all risks and to waive claims against </w:t>
      </w:r>
      <w:r w:rsidR="00A10CB4">
        <w:rPr>
          <w:bCs/>
          <w:sz w:val="23"/>
          <w:szCs w:val="23"/>
        </w:rPr>
        <w:t>Lira</w:t>
      </w:r>
      <w:r w:rsidRPr="0060513B">
        <w:rPr>
          <w:bCs/>
          <w:sz w:val="23"/>
          <w:szCs w:val="23"/>
        </w:rPr>
        <w:t xml:space="preserve"> University and the Grants Management Committee for any injury, death, damage, or loss of property, revenue, or profits, whether direct, indirect, or consequential, arising from their participation in this grant implementation.</w:t>
      </w:r>
    </w:p>
    <w:p w14:paraId="0EE4B1F2"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D4. Applicant support</w:t>
      </w:r>
    </w:p>
    <w:p w14:paraId="768B3DA5" w14:textId="77777777" w:rsidR="00922A7C" w:rsidRDefault="002F3E23" w:rsidP="00922A7C">
      <w:pPr>
        <w:spacing w:line="360" w:lineRule="auto"/>
        <w:jc w:val="both"/>
        <w:rPr>
          <w:bCs/>
          <w:sz w:val="23"/>
          <w:szCs w:val="23"/>
        </w:rPr>
      </w:pPr>
      <w:r w:rsidRPr="002F3E23">
        <w:rPr>
          <w:bCs/>
          <w:sz w:val="23"/>
          <w:szCs w:val="23"/>
        </w:rPr>
        <w:t>Sensitization: The G</w:t>
      </w:r>
      <w:r>
        <w:rPr>
          <w:bCs/>
          <w:sz w:val="23"/>
          <w:szCs w:val="23"/>
        </w:rPr>
        <w:t>rant Management Committee</w:t>
      </w:r>
      <w:r w:rsidRPr="002F3E23">
        <w:rPr>
          <w:bCs/>
          <w:sz w:val="23"/>
          <w:szCs w:val="23"/>
        </w:rPr>
        <w:t xml:space="preserve"> will hold a Zoom-based public meeting on </w:t>
      </w:r>
      <w:r w:rsidRPr="002F3E23">
        <w:rPr>
          <w:b/>
          <w:bCs/>
          <w:sz w:val="23"/>
          <w:szCs w:val="23"/>
        </w:rPr>
        <w:t>Monday 18</w:t>
      </w:r>
      <w:r w:rsidRPr="002F3E23">
        <w:rPr>
          <w:b/>
          <w:bCs/>
          <w:sz w:val="23"/>
          <w:szCs w:val="23"/>
          <w:vertAlign w:val="superscript"/>
        </w:rPr>
        <w:t>th</w:t>
      </w:r>
      <w:r w:rsidRPr="002F3E23">
        <w:rPr>
          <w:b/>
          <w:bCs/>
          <w:sz w:val="23"/>
          <w:szCs w:val="23"/>
        </w:rPr>
        <w:t xml:space="preserve"> September 2023</w:t>
      </w:r>
      <w:r w:rsidRPr="002F3E23">
        <w:rPr>
          <w:bCs/>
          <w:sz w:val="23"/>
          <w:szCs w:val="23"/>
        </w:rPr>
        <w:t xml:space="preserve"> to present key aspects of the grant. Applicants will have an opportunity to ask questions and obtain answers/clarifications regarding this RFP or any part of the application process. </w:t>
      </w:r>
    </w:p>
    <w:p w14:paraId="56C8CDA3"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D5. Review of applications</w:t>
      </w:r>
    </w:p>
    <w:p w14:paraId="7085D93A" w14:textId="77777777" w:rsidR="003D4625" w:rsidRDefault="003D4625" w:rsidP="003D4625">
      <w:pPr>
        <w:spacing w:line="360" w:lineRule="auto"/>
        <w:jc w:val="both"/>
        <w:rPr>
          <w:bCs/>
          <w:sz w:val="23"/>
          <w:szCs w:val="23"/>
        </w:rPr>
      </w:pPr>
      <w:r w:rsidRPr="003D4625">
        <w:rPr>
          <w:bCs/>
          <w:sz w:val="23"/>
          <w:szCs w:val="23"/>
        </w:rPr>
        <w:t>A three (3) step application e</w:t>
      </w:r>
      <w:r>
        <w:rPr>
          <w:bCs/>
          <w:sz w:val="23"/>
          <w:szCs w:val="23"/>
        </w:rPr>
        <w:t xml:space="preserve">valuation process will be used: </w:t>
      </w:r>
    </w:p>
    <w:p w14:paraId="59EB7F4E" w14:textId="77777777" w:rsidR="003D4625" w:rsidRDefault="003D4625" w:rsidP="003D4625">
      <w:pPr>
        <w:spacing w:line="360" w:lineRule="auto"/>
        <w:jc w:val="both"/>
        <w:rPr>
          <w:bCs/>
          <w:sz w:val="23"/>
          <w:szCs w:val="23"/>
        </w:rPr>
      </w:pPr>
      <w:r w:rsidRPr="003D4625">
        <w:rPr>
          <w:b/>
          <w:bCs/>
          <w:sz w:val="23"/>
          <w:szCs w:val="23"/>
        </w:rPr>
        <w:t>Step 1:</w:t>
      </w:r>
      <w:r>
        <w:rPr>
          <w:bCs/>
          <w:sz w:val="23"/>
          <w:szCs w:val="23"/>
        </w:rPr>
        <w:t xml:space="preserve"> This </w:t>
      </w:r>
      <w:r w:rsidRPr="003D4625">
        <w:rPr>
          <w:bCs/>
          <w:sz w:val="23"/>
          <w:szCs w:val="23"/>
        </w:rPr>
        <w:t xml:space="preserve">will involve determination of eligibility. This will be conducted by the </w:t>
      </w:r>
      <w:r>
        <w:rPr>
          <w:bCs/>
          <w:sz w:val="23"/>
          <w:szCs w:val="23"/>
        </w:rPr>
        <w:t>Grant Management Committee</w:t>
      </w:r>
      <w:r w:rsidRPr="003D4625">
        <w:rPr>
          <w:bCs/>
          <w:sz w:val="23"/>
          <w:szCs w:val="23"/>
        </w:rPr>
        <w:t xml:space="preserve"> Secretariat to select only those applications that fit within the eligibility criteria specified in sub-section B1 of this document. </w:t>
      </w:r>
    </w:p>
    <w:p w14:paraId="3A7FA948" w14:textId="1E52AB5C" w:rsidR="003D4625" w:rsidRDefault="003D4625" w:rsidP="003D4625">
      <w:pPr>
        <w:spacing w:line="360" w:lineRule="auto"/>
        <w:jc w:val="both"/>
        <w:rPr>
          <w:bCs/>
          <w:sz w:val="23"/>
          <w:szCs w:val="23"/>
        </w:rPr>
      </w:pPr>
      <w:r w:rsidRPr="003D4625">
        <w:rPr>
          <w:b/>
          <w:bCs/>
          <w:sz w:val="23"/>
          <w:szCs w:val="23"/>
        </w:rPr>
        <w:t>Step 2:</w:t>
      </w:r>
      <w:r w:rsidRPr="003D4625">
        <w:rPr>
          <w:bCs/>
          <w:sz w:val="23"/>
          <w:szCs w:val="23"/>
        </w:rPr>
        <w:t xml:space="preserve"> </w:t>
      </w:r>
      <w:r>
        <w:rPr>
          <w:bCs/>
          <w:sz w:val="23"/>
          <w:szCs w:val="23"/>
        </w:rPr>
        <w:t>It will</w:t>
      </w:r>
      <w:r w:rsidRPr="003D4625">
        <w:rPr>
          <w:bCs/>
          <w:sz w:val="23"/>
          <w:szCs w:val="23"/>
        </w:rPr>
        <w:t xml:space="preserve"> involve a detailed technical review, undertaken by an independent team of credible reviewers (Ugandan and international) appointed by the Grant Management Committee and aligned to the technical expertise required of the different applications. The review process will take a cross-disciplinary approach in which to subject matter experts, reviewers from other disciplines that align with the core-discipline of the research idea will be engaged. Reviewers will </w:t>
      </w:r>
      <w:r>
        <w:rPr>
          <w:bCs/>
          <w:sz w:val="23"/>
          <w:szCs w:val="23"/>
        </w:rPr>
        <w:t>score the</w:t>
      </w:r>
      <w:r w:rsidRPr="003D4625">
        <w:rPr>
          <w:bCs/>
          <w:sz w:val="23"/>
          <w:szCs w:val="23"/>
        </w:rPr>
        <w:t xml:space="preserve"> applications based on standardized criteria. Each proposal will be reviewed by at least 3 reviewers. A shortlist of the best proposals will be provided to the Grant Management Committee</w:t>
      </w:r>
      <w:r>
        <w:rPr>
          <w:bCs/>
          <w:sz w:val="23"/>
          <w:szCs w:val="23"/>
        </w:rPr>
        <w:t xml:space="preserve">. </w:t>
      </w:r>
    </w:p>
    <w:p w14:paraId="4E8DEFBE" w14:textId="77777777" w:rsidR="004709D6" w:rsidRPr="003D4625" w:rsidRDefault="003D4625" w:rsidP="003D4625">
      <w:pPr>
        <w:spacing w:line="360" w:lineRule="auto"/>
        <w:jc w:val="both"/>
        <w:rPr>
          <w:bCs/>
          <w:sz w:val="23"/>
          <w:szCs w:val="23"/>
        </w:rPr>
      </w:pPr>
      <w:r w:rsidRPr="001B0B9E">
        <w:rPr>
          <w:b/>
          <w:bCs/>
          <w:sz w:val="23"/>
          <w:szCs w:val="23"/>
        </w:rPr>
        <w:t>Step 3:</w:t>
      </w:r>
      <w:r>
        <w:rPr>
          <w:bCs/>
          <w:sz w:val="23"/>
          <w:szCs w:val="23"/>
        </w:rPr>
        <w:t xml:space="preserve"> This will be the final phase of the review. The </w:t>
      </w:r>
      <w:r w:rsidRPr="003D4625">
        <w:rPr>
          <w:bCs/>
          <w:sz w:val="23"/>
          <w:szCs w:val="23"/>
        </w:rPr>
        <w:t xml:space="preserve">Grant Management Committee will select from the best-scoring proposals the ones to be funded. This will be strongly guided by the scores and recommendations from Step 2. However, the Grant Management Committee will consider additional aspects like </w:t>
      </w:r>
      <w:r>
        <w:rPr>
          <w:bCs/>
          <w:sz w:val="23"/>
          <w:szCs w:val="23"/>
        </w:rPr>
        <w:t xml:space="preserve">a </w:t>
      </w:r>
      <w:r w:rsidRPr="003D4625">
        <w:rPr>
          <w:bCs/>
          <w:sz w:val="23"/>
          <w:szCs w:val="23"/>
        </w:rPr>
        <w:t xml:space="preserve">clear link to the </w:t>
      </w:r>
      <w:r w:rsidR="001B0B9E">
        <w:rPr>
          <w:bCs/>
          <w:sz w:val="23"/>
          <w:szCs w:val="23"/>
        </w:rPr>
        <w:t>Lira University Research and Innovation A</w:t>
      </w:r>
      <w:r w:rsidRPr="003D4625">
        <w:rPr>
          <w:bCs/>
          <w:sz w:val="23"/>
          <w:szCs w:val="23"/>
        </w:rPr>
        <w:t xml:space="preserve">genda as well as </w:t>
      </w:r>
      <w:r w:rsidR="001B0B9E">
        <w:rPr>
          <w:bCs/>
          <w:sz w:val="23"/>
          <w:szCs w:val="23"/>
        </w:rPr>
        <w:t xml:space="preserve">the </w:t>
      </w:r>
      <w:r w:rsidRPr="003D4625">
        <w:rPr>
          <w:bCs/>
          <w:sz w:val="23"/>
          <w:szCs w:val="23"/>
        </w:rPr>
        <w:t xml:space="preserve">impact within the relevant sector, equity between </w:t>
      </w:r>
      <w:r w:rsidR="001B0B9E">
        <w:rPr>
          <w:bCs/>
          <w:sz w:val="23"/>
          <w:szCs w:val="23"/>
        </w:rPr>
        <w:t>Faculties</w:t>
      </w:r>
      <w:r w:rsidRPr="003D4625">
        <w:rPr>
          <w:bCs/>
          <w:sz w:val="23"/>
          <w:szCs w:val="23"/>
        </w:rPr>
        <w:t>, consideration of gender and junior faculty, the budgets</w:t>
      </w:r>
      <w:r w:rsidR="001B0B9E">
        <w:rPr>
          <w:bCs/>
          <w:sz w:val="23"/>
          <w:szCs w:val="23"/>
        </w:rPr>
        <w:t>,</w:t>
      </w:r>
      <w:r w:rsidRPr="003D4625">
        <w:rPr>
          <w:bCs/>
          <w:sz w:val="23"/>
          <w:szCs w:val="23"/>
        </w:rPr>
        <w:t xml:space="preserve"> and the funds available.</w:t>
      </w:r>
    </w:p>
    <w:p w14:paraId="36333BE4"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D6. Notification of successful applicants</w:t>
      </w:r>
    </w:p>
    <w:p w14:paraId="668D7AEF" w14:textId="77777777" w:rsidR="001B0B9E" w:rsidRPr="00E55821" w:rsidRDefault="00E55821" w:rsidP="00E55821">
      <w:pPr>
        <w:spacing w:line="360" w:lineRule="auto"/>
        <w:jc w:val="both"/>
        <w:rPr>
          <w:bCs/>
          <w:sz w:val="23"/>
          <w:szCs w:val="23"/>
        </w:rPr>
      </w:pPr>
      <w:r w:rsidRPr="00E55821">
        <w:rPr>
          <w:bCs/>
          <w:sz w:val="23"/>
          <w:szCs w:val="23"/>
        </w:rPr>
        <w:t xml:space="preserve">Successful applicants will be informed by email to their designated point of contact. Successful teams will also be profiled on the </w:t>
      </w:r>
      <w:r>
        <w:rPr>
          <w:bCs/>
          <w:sz w:val="23"/>
          <w:szCs w:val="23"/>
        </w:rPr>
        <w:t>Lira University Website</w:t>
      </w:r>
      <w:r w:rsidRPr="00E55821">
        <w:rPr>
          <w:bCs/>
          <w:sz w:val="23"/>
          <w:szCs w:val="23"/>
        </w:rPr>
        <w:t xml:space="preserve">. Researchers should be cognizant of the </w:t>
      </w:r>
      <w:r w:rsidRPr="00E55821">
        <w:rPr>
          <w:bCs/>
          <w:sz w:val="23"/>
          <w:szCs w:val="23"/>
        </w:rPr>
        <w:lastRenderedPageBreak/>
        <w:t xml:space="preserve">fact that not all research applicants should expect to be funded - this is a normal part of </w:t>
      </w:r>
      <w:r>
        <w:rPr>
          <w:bCs/>
          <w:sz w:val="23"/>
          <w:szCs w:val="23"/>
        </w:rPr>
        <w:t>grant</w:t>
      </w:r>
      <w:r w:rsidRPr="00E55821">
        <w:rPr>
          <w:bCs/>
          <w:sz w:val="23"/>
          <w:szCs w:val="23"/>
        </w:rPr>
        <w:t xml:space="preserve"> processes. The Grant Management Committee will be as impartial and as technical as possible in the selection process to ensure that the best projects win. Not winning a grant should therefore not be construed as being a result of </w:t>
      </w:r>
      <w:r>
        <w:rPr>
          <w:bCs/>
          <w:sz w:val="23"/>
          <w:szCs w:val="23"/>
        </w:rPr>
        <w:t>an unfair selection process</w:t>
      </w:r>
      <w:r w:rsidRPr="00E55821">
        <w:rPr>
          <w:bCs/>
          <w:sz w:val="23"/>
          <w:szCs w:val="23"/>
        </w:rPr>
        <w:t>. Grant Management Committee members have sworn an oath of impartiality and readiness to serve with diligence.</w:t>
      </w:r>
    </w:p>
    <w:p w14:paraId="5CB20C3F" w14:textId="77777777" w:rsidR="009A2C61" w:rsidRPr="00922A7C" w:rsidRDefault="009A2C61" w:rsidP="00922A7C">
      <w:pPr>
        <w:spacing w:after="0"/>
        <w:rPr>
          <w:b/>
          <w:bCs/>
          <w:color w:val="ED7D31" w:themeColor="accent2"/>
          <w:sz w:val="24"/>
          <w:szCs w:val="24"/>
        </w:rPr>
      </w:pPr>
      <w:r w:rsidRPr="00922A7C">
        <w:rPr>
          <w:b/>
          <w:bCs/>
          <w:color w:val="ED7D31" w:themeColor="accent2"/>
          <w:sz w:val="24"/>
          <w:szCs w:val="24"/>
        </w:rPr>
        <w:t>D7. Post-award processes</w:t>
      </w:r>
    </w:p>
    <w:p w14:paraId="358CBC88" w14:textId="77777777" w:rsidR="00E55821" w:rsidRDefault="00D13DE3" w:rsidP="00D13DE3">
      <w:pPr>
        <w:spacing w:line="360" w:lineRule="auto"/>
        <w:rPr>
          <w:bCs/>
          <w:sz w:val="23"/>
          <w:szCs w:val="23"/>
        </w:rPr>
      </w:pPr>
      <w:r w:rsidRPr="00D13DE3">
        <w:rPr>
          <w:bCs/>
          <w:sz w:val="23"/>
          <w:szCs w:val="23"/>
        </w:rPr>
        <w:t xml:space="preserve">The post-ward processes will follow those underscored in the Lira Research and Innovation Policy and Grant Management Manual. These will include: </w:t>
      </w:r>
    </w:p>
    <w:p w14:paraId="7329799B" w14:textId="77777777" w:rsidR="00D13DE3" w:rsidRPr="00D13DE3" w:rsidRDefault="00D13DE3" w:rsidP="009D3D0A">
      <w:pPr>
        <w:spacing w:line="360" w:lineRule="auto"/>
        <w:jc w:val="both"/>
        <w:rPr>
          <w:b/>
          <w:bCs/>
          <w:sz w:val="23"/>
          <w:szCs w:val="23"/>
        </w:rPr>
      </w:pPr>
      <w:r w:rsidRPr="00D13DE3">
        <w:rPr>
          <w:b/>
          <w:bCs/>
          <w:sz w:val="23"/>
          <w:szCs w:val="23"/>
        </w:rPr>
        <w:t>Induction:</w:t>
      </w:r>
      <w:r w:rsidR="009D3D0A">
        <w:rPr>
          <w:b/>
          <w:bCs/>
          <w:sz w:val="23"/>
          <w:szCs w:val="23"/>
        </w:rPr>
        <w:t xml:space="preserve"> </w:t>
      </w:r>
      <w:r w:rsidR="009D3D0A" w:rsidRPr="009D3D0A">
        <w:rPr>
          <w:bCs/>
          <w:sz w:val="23"/>
          <w:szCs w:val="23"/>
        </w:rPr>
        <w:t xml:space="preserve">A brief </w:t>
      </w:r>
      <w:r w:rsidR="009D3D0A">
        <w:rPr>
          <w:bCs/>
          <w:sz w:val="23"/>
          <w:szCs w:val="23"/>
        </w:rPr>
        <w:t xml:space="preserve">post-award induction either in-person or online will organized for all successful applicants. </w:t>
      </w:r>
      <w:r w:rsidR="009D3D0A" w:rsidRPr="009D3D0A">
        <w:rPr>
          <w:bCs/>
          <w:sz w:val="23"/>
          <w:szCs w:val="23"/>
        </w:rPr>
        <w:t xml:space="preserve">The </w:t>
      </w:r>
      <w:r w:rsidR="009D3D0A">
        <w:rPr>
          <w:bCs/>
          <w:sz w:val="23"/>
          <w:szCs w:val="23"/>
        </w:rPr>
        <w:t>induction</w:t>
      </w:r>
      <w:r w:rsidR="009D3D0A" w:rsidRPr="009D3D0A">
        <w:rPr>
          <w:bCs/>
          <w:sz w:val="23"/>
          <w:szCs w:val="23"/>
        </w:rPr>
        <w:t xml:space="preserve"> will be mandatory before signing the contracts</w:t>
      </w:r>
    </w:p>
    <w:p w14:paraId="192B2519" w14:textId="77777777" w:rsidR="00D13DE3" w:rsidRPr="009D3D0A" w:rsidRDefault="00D13DE3" w:rsidP="009D3D0A">
      <w:pPr>
        <w:spacing w:line="360" w:lineRule="auto"/>
        <w:jc w:val="both"/>
        <w:rPr>
          <w:bCs/>
          <w:sz w:val="23"/>
          <w:szCs w:val="23"/>
        </w:rPr>
      </w:pPr>
      <w:r w:rsidRPr="00D13DE3">
        <w:rPr>
          <w:b/>
          <w:bCs/>
          <w:sz w:val="23"/>
          <w:szCs w:val="23"/>
        </w:rPr>
        <w:t>Contacting:</w:t>
      </w:r>
      <w:r w:rsidR="009D3D0A">
        <w:rPr>
          <w:b/>
          <w:bCs/>
          <w:sz w:val="23"/>
          <w:szCs w:val="23"/>
        </w:rPr>
        <w:t xml:space="preserve"> </w:t>
      </w:r>
      <w:r w:rsidR="009D3D0A" w:rsidRPr="009D3D0A">
        <w:rPr>
          <w:bCs/>
          <w:sz w:val="23"/>
          <w:szCs w:val="23"/>
        </w:rPr>
        <w:t>The Grant Management Committee will execute an agreement with the awardees on the terms and conditions of the award.</w:t>
      </w:r>
    </w:p>
    <w:p w14:paraId="273AF83D" w14:textId="77777777" w:rsidR="00D13DE3" w:rsidRPr="009D3D0A" w:rsidRDefault="00D13DE3" w:rsidP="009D3D0A">
      <w:pPr>
        <w:spacing w:line="360" w:lineRule="auto"/>
        <w:jc w:val="both"/>
        <w:rPr>
          <w:bCs/>
          <w:sz w:val="23"/>
          <w:szCs w:val="23"/>
        </w:rPr>
      </w:pPr>
      <w:r w:rsidRPr="00D13DE3">
        <w:rPr>
          <w:b/>
          <w:bCs/>
          <w:sz w:val="23"/>
          <w:szCs w:val="23"/>
        </w:rPr>
        <w:t>Capacity building:</w:t>
      </w:r>
      <w:r w:rsidR="009D3D0A">
        <w:rPr>
          <w:b/>
          <w:bCs/>
          <w:sz w:val="23"/>
          <w:szCs w:val="23"/>
        </w:rPr>
        <w:t xml:space="preserve"> </w:t>
      </w:r>
      <w:r w:rsidR="009D3D0A" w:rsidRPr="009D3D0A">
        <w:rPr>
          <w:bCs/>
          <w:sz w:val="23"/>
          <w:szCs w:val="23"/>
        </w:rPr>
        <w:t>The Directorate of Graduate Training and Research and the</w:t>
      </w:r>
      <w:r w:rsidR="009D3D0A">
        <w:rPr>
          <w:bCs/>
          <w:sz w:val="23"/>
          <w:szCs w:val="23"/>
        </w:rPr>
        <w:t xml:space="preserve"> Grants </w:t>
      </w:r>
      <w:r w:rsidR="009D3D0A" w:rsidRPr="009D3D0A">
        <w:rPr>
          <w:bCs/>
          <w:sz w:val="23"/>
          <w:szCs w:val="23"/>
        </w:rPr>
        <w:t>Management Unit</w:t>
      </w:r>
      <w:r w:rsidR="009D3D0A">
        <w:rPr>
          <w:bCs/>
          <w:sz w:val="23"/>
          <w:szCs w:val="23"/>
        </w:rPr>
        <w:t xml:space="preserve"> will organize a series of research capacity-building workshops to support all successful applicants in executing their research and innovation plans. </w:t>
      </w:r>
    </w:p>
    <w:p w14:paraId="1C5212EE" w14:textId="77777777" w:rsidR="00D13DE3" w:rsidRPr="00091F6F" w:rsidRDefault="00D13DE3" w:rsidP="00D13DE3">
      <w:pPr>
        <w:spacing w:line="360" w:lineRule="auto"/>
        <w:rPr>
          <w:bCs/>
          <w:sz w:val="23"/>
          <w:szCs w:val="23"/>
        </w:rPr>
      </w:pPr>
      <w:r w:rsidRPr="00D13DE3">
        <w:rPr>
          <w:b/>
          <w:bCs/>
          <w:sz w:val="23"/>
          <w:szCs w:val="23"/>
        </w:rPr>
        <w:t xml:space="preserve">Release of funds: </w:t>
      </w:r>
      <w:r w:rsidR="00091F6F" w:rsidRPr="00091F6F">
        <w:rPr>
          <w:bCs/>
          <w:sz w:val="23"/>
          <w:szCs w:val="23"/>
        </w:rPr>
        <w:t>Release of funds will be in phases incumbent on proper accountability and demonstration of milestones achieved in the previous payment phase.</w:t>
      </w:r>
    </w:p>
    <w:p w14:paraId="13ACF4FA" w14:textId="77777777" w:rsidR="00D13DE3" w:rsidRPr="00D13DE3" w:rsidRDefault="00D13DE3" w:rsidP="00D13DE3">
      <w:pPr>
        <w:spacing w:line="360" w:lineRule="auto"/>
        <w:rPr>
          <w:bCs/>
          <w:sz w:val="23"/>
          <w:szCs w:val="23"/>
        </w:rPr>
      </w:pPr>
      <w:r w:rsidRPr="00D13DE3">
        <w:rPr>
          <w:b/>
          <w:bCs/>
          <w:sz w:val="23"/>
          <w:szCs w:val="23"/>
        </w:rPr>
        <w:t>Accountability and Reporting</w:t>
      </w:r>
      <w:r>
        <w:rPr>
          <w:bCs/>
          <w:sz w:val="23"/>
          <w:szCs w:val="23"/>
        </w:rPr>
        <w:t xml:space="preserve">: </w:t>
      </w:r>
      <w:r w:rsidR="00091F6F" w:rsidRPr="00091F6F">
        <w:rPr>
          <w:bCs/>
          <w:sz w:val="23"/>
          <w:szCs w:val="23"/>
        </w:rPr>
        <w:t>Awardee researchers will provide interim reports every three (3) months using a standard reporting form that will be provided by the Grant Management Committee.</w:t>
      </w:r>
    </w:p>
    <w:p w14:paraId="6D3EDD5B" w14:textId="77777777" w:rsidR="009A2C61" w:rsidRPr="0091181B" w:rsidRDefault="009A2C61" w:rsidP="00433F3D">
      <w:pPr>
        <w:rPr>
          <w:b/>
          <w:bCs/>
          <w:color w:val="ED7D31" w:themeColor="accent2"/>
          <w:sz w:val="23"/>
          <w:szCs w:val="23"/>
        </w:rPr>
      </w:pPr>
      <w:r w:rsidRPr="0091181B">
        <w:rPr>
          <w:b/>
          <w:bCs/>
          <w:color w:val="ED7D31" w:themeColor="accent2"/>
          <w:sz w:val="23"/>
          <w:szCs w:val="23"/>
        </w:rPr>
        <w:t>D8. Grant timeline</w:t>
      </w:r>
    </w:p>
    <w:tbl>
      <w:tblPr>
        <w:tblStyle w:val="GridTable4-Accent1"/>
        <w:tblW w:w="9715" w:type="dxa"/>
        <w:tblLook w:val="04A0" w:firstRow="1" w:lastRow="0" w:firstColumn="1" w:lastColumn="0" w:noHBand="0" w:noVBand="1"/>
      </w:tblPr>
      <w:tblGrid>
        <w:gridCol w:w="805"/>
        <w:gridCol w:w="4770"/>
        <w:gridCol w:w="4140"/>
      </w:tblGrid>
      <w:tr w:rsidR="00C47008" w:rsidRPr="00D44F0E" w14:paraId="47AAD1F4" w14:textId="77777777" w:rsidTr="00506D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FBED14A" w14:textId="77777777" w:rsidR="00C47008" w:rsidRPr="00506D81" w:rsidRDefault="00C47008" w:rsidP="00922A7C">
            <w:pPr>
              <w:spacing w:line="276" w:lineRule="auto"/>
              <w:jc w:val="center"/>
              <w:rPr>
                <w:bCs w:val="0"/>
                <w:sz w:val="28"/>
                <w:szCs w:val="28"/>
              </w:rPr>
            </w:pPr>
            <w:r w:rsidRPr="00506D81">
              <w:rPr>
                <w:bCs w:val="0"/>
                <w:sz w:val="28"/>
                <w:szCs w:val="28"/>
              </w:rPr>
              <w:t>S/N</w:t>
            </w:r>
          </w:p>
        </w:tc>
        <w:tc>
          <w:tcPr>
            <w:tcW w:w="4770" w:type="dxa"/>
          </w:tcPr>
          <w:p w14:paraId="766FC6A4" w14:textId="77777777" w:rsidR="00C47008" w:rsidRPr="00506D81" w:rsidRDefault="00C47008" w:rsidP="00922A7C">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8"/>
                <w:szCs w:val="28"/>
              </w:rPr>
            </w:pPr>
            <w:r w:rsidRPr="00506D81">
              <w:rPr>
                <w:bCs w:val="0"/>
                <w:sz w:val="28"/>
                <w:szCs w:val="28"/>
              </w:rPr>
              <w:t>MILESTONES</w:t>
            </w:r>
          </w:p>
        </w:tc>
        <w:tc>
          <w:tcPr>
            <w:tcW w:w="4140" w:type="dxa"/>
          </w:tcPr>
          <w:p w14:paraId="39247BB6" w14:textId="77777777" w:rsidR="00C47008" w:rsidRPr="00506D81" w:rsidRDefault="00C47008" w:rsidP="00922A7C">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8"/>
                <w:szCs w:val="28"/>
              </w:rPr>
            </w:pPr>
            <w:r w:rsidRPr="00506D81">
              <w:rPr>
                <w:bCs w:val="0"/>
                <w:sz w:val="28"/>
                <w:szCs w:val="28"/>
              </w:rPr>
              <w:t>DATE</w:t>
            </w:r>
          </w:p>
        </w:tc>
      </w:tr>
      <w:tr w:rsidR="00C47008" w:rsidRPr="00D44F0E" w14:paraId="36505E59" w14:textId="77777777" w:rsidTr="00506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F455980" w14:textId="77777777" w:rsidR="00C47008" w:rsidRPr="00506D81" w:rsidRDefault="00C47008" w:rsidP="00922A7C">
            <w:pPr>
              <w:pStyle w:val="ListParagraph"/>
              <w:numPr>
                <w:ilvl w:val="0"/>
                <w:numId w:val="4"/>
              </w:numPr>
              <w:spacing w:line="276" w:lineRule="auto"/>
              <w:rPr>
                <w:b w:val="0"/>
                <w:sz w:val="28"/>
                <w:szCs w:val="28"/>
              </w:rPr>
            </w:pPr>
          </w:p>
        </w:tc>
        <w:tc>
          <w:tcPr>
            <w:tcW w:w="4770" w:type="dxa"/>
          </w:tcPr>
          <w:p w14:paraId="228777DE" w14:textId="77777777" w:rsidR="00C47008" w:rsidRPr="00D44F0E" w:rsidRDefault="00B17A60" w:rsidP="00922A7C">
            <w:pPr>
              <w:spacing w:line="276" w:lineRule="auto"/>
              <w:cnfStyle w:val="000000100000" w:firstRow="0" w:lastRow="0" w:firstColumn="0" w:lastColumn="0" w:oddVBand="0" w:evenVBand="0" w:oddHBand="1" w:evenHBand="0" w:firstRowFirstColumn="0" w:firstRowLastColumn="0" w:lastRowFirstColumn="0" w:lastRowLastColumn="0"/>
              <w:rPr>
                <w:bCs/>
                <w:sz w:val="28"/>
                <w:szCs w:val="28"/>
              </w:rPr>
            </w:pPr>
            <w:r w:rsidRPr="00D44F0E">
              <w:rPr>
                <w:bCs/>
                <w:sz w:val="28"/>
                <w:szCs w:val="28"/>
              </w:rPr>
              <w:t>Issuance of RFA</w:t>
            </w:r>
          </w:p>
        </w:tc>
        <w:tc>
          <w:tcPr>
            <w:tcW w:w="4140" w:type="dxa"/>
          </w:tcPr>
          <w:p w14:paraId="420E3692" w14:textId="77777777" w:rsidR="00C47008" w:rsidRPr="00D44F0E" w:rsidRDefault="00B17A60" w:rsidP="00922A7C">
            <w:pPr>
              <w:spacing w:line="276" w:lineRule="auto"/>
              <w:cnfStyle w:val="000000100000" w:firstRow="0" w:lastRow="0" w:firstColumn="0" w:lastColumn="0" w:oddVBand="0" w:evenVBand="0" w:oddHBand="1" w:evenHBand="0" w:firstRowFirstColumn="0" w:firstRowLastColumn="0" w:lastRowFirstColumn="0" w:lastRowLastColumn="0"/>
              <w:rPr>
                <w:bCs/>
                <w:sz w:val="28"/>
                <w:szCs w:val="28"/>
              </w:rPr>
            </w:pPr>
            <w:r w:rsidRPr="00D44F0E">
              <w:rPr>
                <w:bCs/>
                <w:sz w:val="28"/>
                <w:szCs w:val="28"/>
              </w:rPr>
              <w:t>Monday</w:t>
            </w:r>
            <w:r w:rsidR="00D44F0E" w:rsidRPr="00D44F0E">
              <w:rPr>
                <w:bCs/>
                <w:sz w:val="28"/>
                <w:szCs w:val="28"/>
              </w:rPr>
              <w:t>,</w:t>
            </w:r>
            <w:r w:rsidRPr="00D44F0E">
              <w:rPr>
                <w:bCs/>
                <w:sz w:val="28"/>
                <w:szCs w:val="28"/>
              </w:rPr>
              <w:t xml:space="preserve"> 11</w:t>
            </w:r>
            <w:r w:rsidRPr="00D44F0E">
              <w:rPr>
                <w:bCs/>
                <w:sz w:val="28"/>
                <w:szCs w:val="28"/>
                <w:vertAlign w:val="superscript"/>
              </w:rPr>
              <w:t>th</w:t>
            </w:r>
            <w:r w:rsidRPr="00D44F0E">
              <w:rPr>
                <w:bCs/>
                <w:sz w:val="28"/>
                <w:szCs w:val="28"/>
              </w:rPr>
              <w:t xml:space="preserve"> September 2023</w:t>
            </w:r>
          </w:p>
        </w:tc>
      </w:tr>
      <w:tr w:rsidR="00C47008" w:rsidRPr="00D44F0E" w14:paraId="542CCF66" w14:textId="77777777" w:rsidTr="00506D81">
        <w:tc>
          <w:tcPr>
            <w:cnfStyle w:val="001000000000" w:firstRow="0" w:lastRow="0" w:firstColumn="1" w:lastColumn="0" w:oddVBand="0" w:evenVBand="0" w:oddHBand="0" w:evenHBand="0" w:firstRowFirstColumn="0" w:firstRowLastColumn="0" w:lastRowFirstColumn="0" w:lastRowLastColumn="0"/>
            <w:tcW w:w="805" w:type="dxa"/>
          </w:tcPr>
          <w:p w14:paraId="444057F8" w14:textId="77777777" w:rsidR="00C47008" w:rsidRPr="00506D81" w:rsidRDefault="00C47008" w:rsidP="00922A7C">
            <w:pPr>
              <w:pStyle w:val="ListParagraph"/>
              <w:numPr>
                <w:ilvl w:val="0"/>
                <w:numId w:val="4"/>
              </w:numPr>
              <w:spacing w:line="276" w:lineRule="auto"/>
              <w:rPr>
                <w:b w:val="0"/>
                <w:sz w:val="28"/>
                <w:szCs w:val="28"/>
              </w:rPr>
            </w:pPr>
          </w:p>
        </w:tc>
        <w:tc>
          <w:tcPr>
            <w:tcW w:w="4770" w:type="dxa"/>
          </w:tcPr>
          <w:p w14:paraId="737BA48D" w14:textId="77777777" w:rsidR="00C47008" w:rsidRPr="00D44F0E" w:rsidRDefault="00B17A60" w:rsidP="00922A7C">
            <w:pPr>
              <w:spacing w:line="276" w:lineRule="auto"/>
              <w:cnfStyle w:val="000000000000" w:firstRow="0" w:lastRow="0" w:firstColumn="0" w:lastColumn="0" w:oddVBand="0" w:evenVBand="0" w:oddHBand="0" w:evenHBand="0" w:firstRowFirstColumn="0" w:firstRowLastColumn="0" w:lastRowFirstColumn="0" w:lastRowLastColumn="0"/>
              <w:rPr>
                <w:bCs/>
                <w:sz w:val="28"/>
                <w:szCs w:val="28"/>
              </w:rPr>
            </w:pPr>
            <w:r w:rsidRPr="00D44F0E">
              <w:rPr>
                <w:bCs/>
                <w:sz w:val="28"/>
                <w:szCs w:val="28"/>
              </w:rPr>
              <w:t xml:space="preserve">Sensitization of </w:t>
            </w:r>
            <w:r w:rsidR="00D44F0E" w:rsidRPr="00D44F0E">
              <w:rPr>
                <w:bCs/>
                <w:sz w:val="28"/>
                <w:szCs w:val="28"/>
              </w:rPr>
              <w:t>P</w:t>
            </w:r>
            <w:r w:rsidRPr="00D44F0E">
              <w:rPr>
                <w:bCs/>
                <w:sz w:val="28"/>
                <w:szCs w:val="28"/>
              </w:rPr>
              <w:t xml:space="preserve">rospecting </w:t>
            </w:r>
            <w:r w:rsidR="00D44F0E" w:rsidRPr="00D44F0E">
              <w:rPr>
                <w:bCs/>
                <w:sz w:val="28"/>
                <w:szCs w:val="28"/>
              </w:rPr>
              <w:t>A</w:t>
            </w:r>
            <w:r w:rsidRPr="00D44F0E">
              <w:rPr>
                <w:bCs/>
                <w:sz w:val="28"/>
                <w:szCs w:val="28"/>
              </w:rPr>
              <w:t>pplicants</w:t>
            </w:r>
          </w:p>
        </w:tc>
        <w:tc>
          <w:tcPr>
            <w:tcW w:w="4140" w:type="dxa"/>
          </w:tcPr>
          <w:p w14:paraId="69649ECB" w14:textId="77777777" w:rsidR="00C47008" w:rsidRPr="00D44F0E" w:rsidRDefault="00D44F0E" w:rsidP="00922A7C">
            <w:pPr>
              <w:spacing w:line="276" w:lineRule="auto"/>
              <w:cnfStyle w:val="000000000000" w:firstRow="0" w:lastRow="0" w:firstColumn="0" w:lastColumn="0" w:oddVBand="0" w:evenVBand="0" w:oddHBand="0" w:evenHBand="0" w:firstRowFirstColumn="0" w:firstRowLastColumn="0" w:lastRowFirstColumn="0" w:lastRowLastColumn="0"/>
              <w:rPr>
                <w:bCs/>
                <w:sz w:val="28"/>
                <w:szCs w:val="28"/>
              </w:rPr>
            </w:pPr>
            <w:r w:rsidRPr="00D44F0E">
              <w:rPr>
                <w:bCs/>
                <w:sz w:val="28"/>
                <w:szCs w:val="28"/>
              </w:rPr>
              <w:t>Monday, 18</w:t>
            </w:r>
            <w:r w:rsidRPr="00D44F0E">
              <w:rPr>
                <w:bCs/>
                <w:sz w:val="28"/>
                <w:szCs w:val="28"/>
                <w:vertAlign w:val="superscript"/>
              </w:rPr>
              <w:t>th</w:t>
            </w:r>
            <w:r w:rsidRPr="00D44F0E">
              <w:rPr>
                <w:bCs/>
                <w:sz w:val="28"/>
                <w:szCs w:val="28"/>
              </w:rPr>
              <w:t xml:space="preserve"> September 2023</w:t>
            </w:r>
          </w:p>
        </w:tc>
      </w:tr>
      <w:tr w:rsidR="00C47008" w:rsidRPr="00D44F0E" w14:paraId="7FE7E089" w14:textId="77777777" w:rsidTr="00506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561D6D58" w14:textId="77777777" w:rsidR="00C47008" w:rsidRPr="00506D81" w:rsidRDefault="00C47008" w:rsidP="00922A7C">
            <w:pPr>
              <w:pStyle w:val="ListParagraph"/>
              <w:numPr>
                <w:ilvl w:val="0"/>
                <w:numId w:val="4"/>
              </w:numPr>
              <w:spacing w:line="276" w:lineRule="auto"/>
              <w:rPr>
                <w:b w:val="0"/>
                <w:sz w:val="28"/>
                <w:szCs w:val="28"/>
              </w:rPr>
            </w:pPr>
          </w:p>
        </w:tc>
        <w:tc>
          <w:tcPr>
            <w:tcW w:w="4770" w:type="dxa"/>
          </w:tcPr>
          <w:p w14:paraId="41F8BB62" w14:textId="77777777" w:rsidR="00C47008" w:rsidRPr="00D44F0E" w:rsidRDefault="00D44F0E" w:rsidP="00922A7C">
            <w:pPr>
              <w:spacing w:line="276" w:lineRule="auto"/>
              <w:cnfStyle w:val="000000100000" w:firstRow="0" w:lastRow="0" w:firstColumn="0" w:lastColumn="0" w:oddVBand="0" w:evenVBand="0" w:oddHBand="1" w:evenHBand="0" w:firstRowFirstColumn="0" w:firstRowLastColumn="0" w:lastRowFirstColumn="0" w:lastRowLastColumn="0"/>
              <w:rPr>
                <w:bCs/>
                <w:sz w:val="28"/>
                <w:szCs w:val="28"/>
              </w:rPr>
            </w:pPr>
            <w:r w:rsidRPr="00D44F0E">
              <w:rPr>
                <w:bCs/>
                <w:sz w:val="28"/>
                <w:szCs w:val="28"/>
              </w:rPr>
              <w:t>Closing Date for Applications</w:t>
            </w:r>
          </w:p>
        </w:tc>
        <w:tc>
          <w:tcPr>
            <w:tcW w:w="4140" w:type="dxa"/>
          </w:tcPr>
          <w:p w14:paraId="7E398673" w14:textId="77777777" w:rsidR="00C47008" w:rsidRPr="00D44F0E" w:rsidRDefault="00D44F0E" w:rsidP="00922A7C">
            <w:pPr>
              <w:spacing w:line="276" w:lineRule="auto"/>
              <w:cnfStyle w:val="000000100000" w:firstRow="0" w:lastRow="0" w:firstColumn="0" w:lastColumn="0" w:oddVBand="0" w:evenVBand="0" w:oddHBand="1" w:evenHBand="0" w:firstRowFirstColumn="0" w:firstRowLastColumn="0" w:lastRowFirstColumn="0" w:lastRowLastColumn="0"/>
              <w:rPr>
                <w:bCs/>
                <w:sz w:val="28"/>
                <w:szCs w:val="28"/>
              </w:rPr>
            </w:pPr>
            <w:r w:rsidRPr="00D44F0E">
              <w:rPr>
                <w:bCs/>
                <w:sz w:val="28"/>
                <w:szCs w:val="28"/>
              </w:rPr>
              <w:t>Wednesday, 11</w:t>
            </w:r>
            <w:r w:rsidRPr="00D44F0E">
              <w:rPr>
                <w:bCs/>
                <w:sz w:val="28"/>
                <w:szCs w:val="28"/>
                <w:vertAlign w:val="superscript"/>
              </w:rPr>
              <w:t>th</w:t>
            </w:r>
            <w:r w:rsidRPr="00D44F0E">
              <w:rPr>
                <w:bCs/>
                <w:sz w:val="28"/>
                <w:szCs w:val="28"/>
              </w:rPr>
              <w:t xml:space="preserve"> October 2023</w:t>
            </w:r>
          </w:p>
        </w:tc>
      </w:tr>
      <w:tr w:rsidR="00C47008" w:rsidRPr="00D44F0E" w14:paraId="4F19EB16" w14:textId="77777777" w:rsidTr="00506D81">
        <w:tc>
          <w:tcPr>
            <w:cnfStyle w:val="001000000000" w:firstRow="0" w:lastRow="0" w:firstColumn="1" w:lastColumn="0" w:oddVBand="0" w:evenVBand="0" w:oddHBand="0" w:evenHBand="0" w:firstRowFirstColumn="0" w:firstRowLastColumn="0" w:lastRowFirstColumn="0" w:lastRowLastColumn="0"/>
            <w:tcW w:w="805" w:type="dxa"/>
          </w:tcPr>
          <w:p w14:paraId="7D9DE439" w14:textId="77777777" w:rsidR="00C47008" w:rsidRPr="00506D81" w:rsidRDefault="00C47008" w:rsidP="00922A7C">
            <w:pPr>
              <w:pStyle w:val="ListParagraph"/>
              <w:numPr>
                <w:ilvl w:val="0"/>
                <w:numId w:val="4"/>
              </w:numPr>
              <w:spacing w:line="276" w:lineRule="auto"/>
              <w:rPr>
                <w:b w:val="0"/>
                <w:sz w:val="28"/>
                <w:szCs w:val="28"/>
              </w:rPr>
            </w:pPr>
          </w:p>
        </w:tc>
        <w:tc>
          <w:tcPr>
            <w:tcW w:w="4770" w:type="dxa"/>
          </w:tcPr>
          <w:p w14:paraId="2D4953AC" w14:textId="77777777" w:rsidR="00C47008" w:rsidRPr="00D44F0E" w:rsidRDefault="00D44F0E" w:rsidP="00922A7C">
            <w:pPr>
              <w:spacing w:line="276" w:lineRule="auto"/>
              <w:cnfStyle w:val="000000000000" w:firstRow="0" w:lastRow="0" w:firstColumn="0" w:lastColumn="0" w:oddVBand="0" w:evenVBand="0" w:oddHBand="0" w:evenHBand="0" w:firstRowFirstColumn="0" w:firstRowLastColumn="0" w:lastRowFirstColumn="0" w:lastRowLastColumn="0"/>
              <w:rPr>
                <w:bCs/>
                <w:sz w:val="28"/>
                <w:szCs w:val="28"/>
              </w:rPr>
            </w:pPr>
            <w:r w:rsidRPr="00D44F0E">
              <w:rPr>
                <w:bCs/>
                <w:sz w:val="28"/>
                <w:szCs w:val="28"/>
              </w:rPr>
              <w:t xml:space="preserve">Review and Evaluation </w:t>
            </w:r>
          </w:p>
        </w:tc>
        <w:tc>
          <w:tcPr>
            <w:tcW w:w="4140" w:type="dxa"/>
          </w:tcPr>
          <w:p w14:paraId="711BB5CA" w14:textId="77777777" w:rsidR="00C47008" w:rsidRPr="00D44F0E" w:rsidRDefault="00D44F0E" w:rsidP="00922A7C">
            <w:pPr>
              <w:spacing w:line="276" w:lineRule="auto"/>
              <w:cnfStyle w:val="000000000000" w:firstRow="0" w:lastRow="0" w:firstColumn="0" w:lastColumn="0" w:oddVBand="0" w:evenVBand="0" w:oddHBand="0" w:evenHBand="0" w:firstRowFirstColumn="0" w:firstRowLastColumn="0" w:lastRowFirstColumn="0" w:lastRowLastColumn="0"/>
              <w:rPr>
                <w:bCs/>
                <w:sz w:val="28"/>
                <w:szCs w:val="28"/>
              </w:rPr>
            </w:pPr>
            <w:r w:rsidRPr="00D44F0E">
              <w:rPr>
                <w:bCs/>
                <w:sz w:val="28"/>
                <w:szCs w:val="28"/>
              </w:rPr>
              <w:t>Wednesday, 25</w:t>
            </w:r>
            <w:r w:rsidRPr="00D44F0E">
              <w:rPr>
                <w:bCs/>
                <w:sz w:val="28"/>
                <w:szCs w:val="28"/>
                <w:vertAlign w:val="superscript"/>
              </w:rPr>
              <w:t>th</w:t>
            </w:r>
            <w:r w:rsidRPr="00D44F0E">
              <w:rPr>
                <w:bCs/>
                <w:sz w:val="28"/>
                <w:szCs w:val="28"/>
              </w:rPr>
              <w:t xml:space="preserve"> October 2023</w:t>
            </w:r>
          </w:p>
        </w:tc>
      </w:tr>
      <w:tr w:rsidR="00C47008" w:rsidRPr="00D44F0E" w14:paraId="5A6548BC" w14:textId="77777777" w:rsidTr="00506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05C89A1" w14:textId="77777777" w:rsidR="00C47008" w:rsidRPr="00506D81" w:rsidRDefault="00C47008" w:rsidP="00922A7C">
            <w:pPr>
              <w:pStyle w:val="ListParagraph"/>
              <w:numPr>
                <w:ilvl w:val="0"/>
                <w:numId w:val="4"/>
              </w:numPr>
              <w:spacing w:line="276" w:lineRule="auto"/>
              <w:rPr>
                <w:b w:val="0"/>
                <w:sz w:val="28"/>
                <w:szCs w:val="28"/>
              </w:rPr>
            </w:pPr>
          </w:p>
        </w:tc>
        <w:tc>
          <w:tcPr>
            <w:tcW w:w="4770" w:type="dxa"/>
          </w:tcPr>
          <w:p w14:paraId="6918A8C6" w14:textId="77777777" w:rsidR="00C47008" w:rsidRPr="00D44F0E" w:rsidRDefault="00D44F0E" w:rsidP="00922A7C">
            <w:pPr>
              <w:spacing w:line="276" w:lineRule="auto"/>
              <w:cnfStyle w:val="000000100000" w:firstRow="0" w:lastRow="0" w:firstColumn="0" w:lastColumn="0" w:oddVBand="0" w:evenVBand="0" w:oddHBand="1" w:evenHBand="0" w:firstRowFirstColumn="0" w:firstRowLastColumn="0" w:lastRowFirstColumn="0" w:lastRowLastColumn="0"/>
              <w:rPr>
                <w:bCs/>
                <w:sz w:val="28"/>
                <w:szCs w:val="28"/>
              </w:rPr>
            </w:pPr>
            <w:r w:rsidRPr="00D44F0E">
              <w:rPr>
                <w:bCs/>
                <w:sz w:val="28"/>
                <w:szCs w:val="28"/>
              </w:rPr>
              <w:t>Award Notification</w:t>
            </w:r>
          </w:p>
        </w:tc>
        <w:tc>
          <w:tcPr>
            <w:tcW w:w="4140" w:type="dxa"/>
          </w:tcPr>
          <w:p w14:paraId="720F921D" w14:textId="77777777" w:rsidR="00C47008" w:rsidRPr="00D44F0E" w:rsidRDefault="00D44F0E" w:rsidP="00922A7C">
            <w:pPr>
              <w:spacing w:line="276" w:lineRule="auto"/>
              <w:cnfStyle w:val="000000100000" w:firstRow="0" w:lastRow="0" w:firstColumn="0" w:lastColumn="0" w:oddVBand="0" w:evenVBand="0" w:oddHBand="1" w:evenHBand="0" w:firstRowFirstColumn="0" w:firstRowLastColumn="0" w:lastRowFirstColumn="0" w:lastRowLastColumn="0"/>
              <w:rPr>
                <w:bCs/>
                <w:sz w:val="28"/>
                <w:szCs w:val="28"/>
              </w:rPr>
            </w:pPr>
            <w:r w:rsidRPr="00D44F0E">
              <w:rPr>
                <w:bCs/>
                <w:sz w:val="28"/>
                <w:szCs w:val="28"/>
              </w:rPr>
              <w:t>Thursday, 2</w:t>
            </w:r>
            <w:r w:rsidRPr="00D44F0E">
              <w:rPr>
                <w:bCs/>
                <w:sz w:val="28"/>
                <w:szCs w:val="28"/>
                <w:vertAlign w:val="superscript"/>
              </w:rPr>
              <w:t>nd</w:t>
            </w:r>
            <w:r w:rsidRPr="00D44F0E">
              <w:rPr>
                <w:bCs/>
                <w:sz w:val="28"/>
                <w:szCs w:val="28"/>
              </w:rPr>
              <w:t xml:space="preserve"> November 2023</w:t>
            </w:r>
          </w:p>
        </w:tc>
      </w:tr>
      <w:tr w:rsidR="00C47008" w:rsidRPr="00D44F0E" w14:paraId="29F5C8B3" w14:textId="77777777" w:rsidTr="00506D81">
        <w:tc>
          <w:tcPr>
            <w:cnfStyle w:val="001000000000" w:firstRow="0" w:lastRow="0" w:firstColumn="1" w:lastColumn="0" w:oddVBand="0" w:evenVBand="0" w:oddHBand="0" w:evenHBand="0" w:firstRowFirstColumn="0" w:firstRowLastColumn="0" w:lastRowFirstColumn="0" w:lastRowLastColumn="0"/>
            <w:tcW w:w="805" w:type="dxa"/>
          </w:tcPr>
          <w:p w14:paraId="7AA44B34" w14:textId="77777777" w:rsidR="00C47008" w:rsidRPr="00506D81" w:rsidRDefault="00C47008" w:rsidP="00922A7C">
            <w:pPr>
              <w:pStyle w:val="ListParagraph"/>
              <w:numPr>
                <w:ilvl w:val="0"/>
                <w:numId w:val="4"/>
              </w:numPr>
              <w:spacing w:line="276" w:lineRule="auto"/>
              <w:rPr>
                <w:b w:val="0"/>
                <w:sz w:val="28"/>
                <w:szCs w:val="28"/>
              </w:rPr>
            </w:pPr>
          </w:p>
        </w:tc>
        <w:tc>
          <w:tcPr>
            <w:tcW w:w="4770" w:type="dxa"/>
          </w:tcPr>
          <w:p w14:paraId="0BE61436" w14:textId="77777777" w:rsidR="00C47008" w:rsidRPr="00D44F0E" w:rsidRDefault="00D44F0E" w:rsidP="00922A7C">
            <w:pPr>
              <w:spacing w:line="276" w:lineRule="auto"/>
              <w:cnfStyle w:val="000000000000" w:firstRow="0" w:lastRow="0" w:firstColumn="0" w:lastColumn="0" w:oddVBand="0" w:evenVBand="0" w:oddHBand="0" w:evenHBand="0" w:firstRowFirstColumn="0" w:firstRowLastColumn="0" w:lastRowFirstColumn="0" w:lastRowLastColumn="0"/>
              <w:rPr>
                <w:bCs/>
                <w:sz w:val="28"/>
                <w:szCs w:val="28"/>
              </w:rPr>
            </w:pPr>
            <w:r w:rsidRPr="00D44F0E">
              <w:rPr>
                <w:bCs/>
                <w:sz w:val="28"/>
                <w:szCs w:val="28"/>
              </w:rPr>
              <w:t>Induction</w:t>
            </w:r>
          </w:p>
        </w:tc>
        <w:tc>
          <w:tcPr>
            <w:tcW w:w="4140" w:type="dxa"/>
          </w:tcPr>
          <w:p w14:paraId="14A21B16" w14:textId="77777777" w:rsidR="00C47008" w:rsidRPr="00D44F0E" w:rsidRDefault="00D44F0E" w:rsidP="00922A7C">
            <w:pPr>
              <w:spacing w:line="276" w:lineRule="auto"/>
              <w:cnfStyle w:val="000000000000" w:firstRow="0" w:lastRow="0" w:firstColumn="0" w:lastColumn="0" w:oddVBand="0" w:evenVBand="0" w:oddHBand="0" w:evenHBand="0" w:firstRowFirstColumn="0" w:firstRowLastColumn="0" w:lastRowFirstColumn="0" w:lastRowLastColumn="0"/>
              <w:rPr>
                <w:bCs/>
                <w:sz w:val="28"/>
                <w:szCs w:val="28"/>
              </w:rPr>
            </w:pPr>
            <w:r w:rsidRPr="00D44F0E">
              <w:rPr>
                <w:bCs/>
                <w:sz w:val="28"/>
                <w:szCs w:val="28"/>
              </w:rPr>
              <w:t>Wednesday, 15</w:t>
            </w:r>
            <w:r w:rsidRPr="00D44F0E">
              <w:rPr>
                <w:bCs/>
                <w:sz w:val="28"/>
                <w:szCs w:val="28"/>
                <w:vertAlign w:val="superscript"/>
              </w:rPr>
              <w:t>th</w:t>
            </w:r>
            <w:r w:rsidRPr="00D44F0E">
              <w:rPr>
                <w:bCs/>
                <w:sz w:val="28"/>
                <w:szCs w:val="28"/>
              </w:rPr>
              <w:t xml:space="preserve"> November 2023</w:t>
            </w:r>
          </w:p>
        </w:tc>
      </w:tr>
    </w:tbl>
    <w:p w14:paraId="55214D39" w14:textId="77777777" w:rsidR="009A2C61" w:rsidRDefault="009A2C61" w:rsidP="00433F3D">
      <w:pPr>
        <w:rPr>
          <w:b/>
          <w:bCs/>
          <w:sz w:val="23"/>
          <w:szCs w:val="23"/>
        </w:rPr>
      </w:pPr>
    </w:p>
    <w:p w14:paraId="799C6782" w14:textId="77777777" w:rsidR="009A2C61" w:rsidRDefault="009A2C61" w:rsidP="00433F3D">
      <w:pPr>
        <w:rPr>
          <w:b/>
          <w:bCs/>
          <w:sz w:val="23"/>
          <w:szCs w:val="23"/>
        </w:rPr>
      </w:pPr>
    </w:p>
    <w:p w14:paraId="003BE456" w14:textId="77777777" w:rsidR="00433F3D" w:rsidRPr="00433F3D" w:rsidRDefault="00506D81" w:rsidP="00506D81">
      <w:pPr>
        <w:tabs>
          <w:tab w:val="left" w:pos="7500"/>
        </w:tabs>
        <w:rPr>
          <w:b/>
        </w:rPr>
      </w:pPr>
      <w:r>
        <w:rPr>
          <w:b/>
        </w:rPr>
        <w:tab/>
      </w:r>
    </w:p>
    <w:sectPr w:rsidR="00433F3D" w:rsidRPr="00433F3D" w:rsidSect="00464C07">
      <w:headerReference w:type="default" r:id="rId9"/>
      <w:footerReference w:type="default" r:id="rId10"/>
      <w:pgSz w:w="11906" w:h="16838"/>
      <w:pgMar w:top="450" w:right="1440" w:bottom="14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0D9D" w14:textId="77777777" w:rsidR="00927B1F" w:rsidRDefault="00927B1F" w:rsidP="00506D81">
      <w:pPr>
        <w:spacing w:after="0" w:line="240" w:lineRule="auto"/>
      </w:pPr>
      <w:r>
        <w:separator/>
      </w:r>
    </w:p>
  </w:endnote>
  <w:endnote w:type="continuationSeparator" w:id="0">
    <w:p w14:paraId="15A2EE39" w14:textId="77777777" w:rsidR="00927B1F" w:rsidRDefault="00927B1F" w:rsidP="0050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23649"/>
      <w:docPartObj>
        <w:docPartGallery w:val="Page Numbers (Bottom of Page)"/>
        <w:docPartUnique/>
      </w:docPartObj>
    </w:sdtPr>
    <w:sdtContent>
      <w:sdt>
        <w:sdtPr>
          <w:id w:val="1118259126"/>
          <w:docPartObj>
            <w:docPartGallery w:val="Page Numbers (Top of Page)"/>
            <w:docPartUnique/>
          </w:docPartObj>
        </w:sdtPr>
        <w:sdtContent>
          <w:p w14:paraId="7813E6C4" w14:textId="77777777" w:rsidR="00506D81" w:rsidRDefault="00506D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754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754E">
              <w:rPr>
                <w:b/>
                <w:bCs/>
                <w:noProof/>
              </w:rPr>
              <w:t>6</w:t>
            </w:r>
            <w:r>
              <w:rPr>
                <w:b/>
                <w:bCs/>
                <w:sz w:val="24"/>
                <w:szCs w:val="24"/>
              </w:rPr>
              <w:fldChar w:fldCharType="end"/>
            </w:r>
          </w:p>
        </w:sdtContent>
      </w:sdt>
    </w:sdtContent>
  </w:sdt>
  <w:p w14:paraId="2E88EF94" w14:textId="77777777" w:rsidR="00506D81" w:rsidRDefault="00506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C25C" w14:textId="77777777" w:rsidR="00927B1F" w:rsidRDefault="00927B1F" w:rsidP="00506D81">
      <w:pPr>
        <w:spacing w:after="0" w:line="240" w:lineRule="auto"/>
      </w:pPr>
      <w:r>
        <w:separator/>
      </w:r>
    </w:p>
  </w:footnote>
  <w:footnote w:type="continuationSeparator" w:id="0">
    <w:p w14:paraId="4AFDA019" w14:textId="77777777" w:rsidR="00927B1F" w:rsidRDefault="00927B1F" w:rsidP="0050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4638" w14:textId="77777777" w:rsidR="00464C07" w:rsidRDefault="00464C07">
    <w:pPr>
      <w:pStyle w:val="Header"/>
    </w:pPr>
    <w:r>
      <w:rPr>
        <w:noProof/>
        <w:lang w:eastAsia="en-GB"/>
      </w:rPr>
      <w:drawing>
        <wp:inline distT="0" distB="0" distL="0" distR="0" wp14:anchorId="24B03483" wp14:editId="16DB5E4F">
          <wp:extent cx="1181100" cy="876300"/>
          <wp:effectExtent l="0" t="0" r="0" b="0"/>
          <wp:docPr id="37" name="Picture 37" descr="https://kescholars.com/wp-content/uploads/2019/09/Lira-University-Student-Por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scholars.com/wp-content/uploads/2019/09/Lira-University-Student-Por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76300"/>
                  </a:xfrm>
                  <a:prstGeom prst="rect">
                    <a:avLst/>
                  </a:prstGeom>
                  <a:noFill/>
                  <a:ln>
                    <a:noFill/>
                  </a:ln>
                </pic:spPr>
              </pic:pic>
            </a:graphicData>
          </a:graphic>
        </wp:inline>
      </w:drawing>
    </w:r>
    <w:r>
      <w:t xml:space="preserve">                                                                                                      </w:t>
    </w:r>
    <w:r>
      <w:rPr>
        <w:noProof/>
        <w:lang w:eastAsia="en-GB"/>
      </w:rPr>
      <w:drawing>
        <wp:inline distT="0" distB="0" distL="0" distR="0" wp14:anchorId="78BDB292" wp14:editId="20787BE2">
          <wp:extent cx="1181100" cy="647700"/>
          <wp:effectExtent l="0" t="0" r="0" b="0"/>
          <wp:docPr id="38" name="Picture 38" descr="https://logosave.com/images/large/19/The-Republic-of-Ugand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gosave.com/images/large/19/The-Republic-of-Uganda-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6477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11526"/>
    <w:multiLevelType w:val="hybridMultilevel"/>
    <w:tmpl w:val="251AC56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E70766"/>
    <w:multiLevelType w:val="hybridMultilevel"/>
    <w:tmpl w:val="0F9C30A8"/>
    <w:lvl w:ilvl="0" w:tplc="09287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5069C"/>
    <w:multiLevelType w:val="hybridMultilevel"/>
    <w:tmpl w:val="6B8A11E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9B5170"/>
    <w:multiLevelType w:val="hybridMultilevel"/>
    <w:tmpl w:val="DFBCE9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634138">
    <w:abstractNumId w:val="0"/>
  </w:num>
  <w:num w:numId="2" w16cid:durableId="144441582">
    <w:abstractNumId w:val="2"/>
  </w:num>
  <w:num w:numId="3" w16cid:durableId="251859152">
    <w:abstractNumId w:val="1"/>
  </w:num>
  <w:num w:numId="4" w16cid:durableId="902524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3D"/>
    <w:rsid w:val="00060901"/>
    <w:rsid w:val="0008775E"/>
    <w:rsid w:val="00091F6F"/>
    <w:rsid w:val="000F407E"/>
    <w:rsid w:val="00122B48"/>
    <w:rsid w:val="001445E0"/>
    <w:rsid w:val="00154D0C"/>
    <w:rsid w:val="001B0B9E"/>
    <w:rsid w:val="002314B8"/>
    <w:rsid w:val="00264D5B"/>
    <w:rsid w:val="0029754E"/>
    <w:rsid w:val="002C3F54"/>
    <w:rsid w:val="002F3E23"/>
    <w:rsid w:val="003420B6"/>
    <w:rsid w:val="00373E3F"/>
    <w:rsid w:val="003D4625"/>
    <w:rsid w:val="00433F3D"/>
    <w:rsid w:val="00464C07"/>
    <w:rsid w:val="004709D6"/>
    <w:rsid w:val="00506D81"/>
    <w:rsid w:val="0060513B"/>
    <w:rsid w:val="0061099D"/>
    <w:rsid w:val="0067524A"/>
    <w:rsid w:val="006E6134"/>
    <w:rsid w:val="00766478"/>
    <w:rsid w:val="0078571E"/>
    <w:rsid w:val="007B4476"/>
    <w:rsid w:val="007C23FD"/>
    <w:rsid w:val="007C7010"/>
    <w:rsid w:val="007E3994"/>
    <w:rsid w:val="00827161"/>
    <w:rsid w:val="0088417A"/>
    <w:rsid w:val="0091181B"/>
    <w:rsid w:val="00922A7C"/>
    <w:rsid w:val="00927B1F"/>
    <w:rsid w:val="009A2C61"/>
    <w:rsid w:val="009B22C6"/>
    <w:rsid w:val="009D3D0A"/>
    <w:rsid w:val="00A10CB4"/>
    <w:rsid w:val="00A61D0D"/>
    <w:rsid w:val="00B17A60"/>
    <w:rsid w:val="00B70DBF"/>
    <w:rsid w:val="00B86D32"/>
    <w:rsid w:val="00BD75A5"/>
    <w:rsid w:val="00C01531"/>
    <w:rsid w:val="00C47008"/>
    <w:rsid w:val="00D055B1"/>
    <w:rsid w:val="00D13DE3"/>
    <w:rsid w:val="00D44F0E"/>
    <w:rsid w:val="00E55821"/>
    <w:rsid w:val="00ED1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9AB6"/>
  <w15:chartTrackingRefBased/>
  <w15:docId w15:val="{FEE2E97B-3577-4C8A-BFB1-36FEE8F8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3F3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numbered"/>
    <w:basedOn w:val="Normal"/>
    <w:uiPriority w:val="34"/>
    <w:qFormat/>
    <w:rsid w:val="001445E0"/>
    <w:pPr>
      <w:ind w:left="720"/>
      <w:contextualSpacing/>
    </w:pPr>
  </w:style>
  <w:style w:type="table" w:styleId="TableGrid">
    <w:name w:val="Table Grid"/>
    <w:basedOn w:val="TableNormal"/>
    <w:uiPriority w:val="39"/>
    <w:rsid w:val="006E6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06D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06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81"/>
  </w:style>
  <w:style w:type="paragraph" w:styleId="Footer">
    <w:name w:val="footer"/>
    <w:basedOn w:val="Normal"/>
    <w:link w:val="FooterChar"/>
    <w:uiPriority w:val="99"/>
    <w:unhideWhenUsed/>
    <w:rsid w:val="00506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81"/>
  </w:style>
  <w:style w:type="character" w:styleId="Hyperlink">
    <w:name w:val="Hyperlink"/>
    <w:basedOn w:val="DefaultParagraphFont"/>
    <w:uiPriority w:val="99"/>
    <w:unhideWhenUsed/>
    <w:rsid w:val="00B86D32"/>
    <w:rPr>
      <w:color w:val="0563C1" w:themeColor="hyperlink"/>
      <w:u w:val="single"/>
    </w:rPr>
  </w:style>
  <w:style w:type="character" w:styleId="UnresolvedMention">
    <w:name w:val="Unresolved Mention"/>
    <w:basedOn w:val="DefaultParagraphFont"/>
    <w:uiPriority w:val="99"/>
    <w:semiHidden/>
    <w:unhideWhenUsed/>
    <w:rsid w:val="00B8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lirauni.ac.ug" TargetMode="External"/><Relationship Id="rId3" Type="http://schemas.openxmlformats.org/officeDocument/2006/relationships/settings" Target="settings.xml"/><Relationship Id="rId7" Type="http://schemas.openxmlformats.org/officeDocument/2006/relationships/hyperlink" Target="mailto:grants@lirauni.ac.u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cathyapuno@hotmail.com</cp:lastModifiedBy>
  <cp:revision>2</cp:revision>
  <cp:lastPrinted>2023-09-11T10:58:00Z</cp:lastPrinted>
  <dcterms:created xsi:type="dcterms:W3CDTF">2023-09-11T13:05:00Z</dcterms:created>
  <dcterms:modified xsi:type="dcterms:W3CDTF">2023-09-11T13:05:00Z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0acacc5c-60b5-4967-8e30-9b76b83a6f29</vt:lpwstr>
  </property>
</Properties>
</file>